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E" w:rsidRDefault="009A3670" w:rsidP="009A3670">
      <w:pPr>
        <w:pStyle w:val="Fuzeile"/>
      </w:pPr>
      <w:r>
        <w:t>Christiane Reitz</w:t>
      </w:r>
    </w:p>
    <w:p w:rsidR="00C3141E" w:rsidRDefault="00C3141E"/>
    <w:p w:rsidR="00C3141E" w:rsidRDefault="00C3141E"/>
    <w:p w:rsidR="00C3141E" w:rsidRDefault="00C3141E"/>
    <w:p w:rsidR="00C3141E" w:rsidRDefault="00C3141E"/>
    <w:p w:rsidR="00C3141E" w:rsidRDefault="00C3141E">
      <w:r>
        <w:rPr>
          <w:b/>
        </w:rPr>
        <w:t>Publikationen</w:t>
      </w:r>
    </w:p>
    <w:p w:rsidR="00C3141E" w:rsidRDefault="00C3141E"/>
    <w:p w:rsidR="00C3141E" w:rsidRDefault="00C3141E"/>
    <w:p w:rsidR="00C3141E" w:rsidRDefault="00C3141E"/>
    <w:p w:rsidR="00C3141E" w:rsidRDefault="00C3141E">
      <w:r>
        <w:rPr>
          <w:u w:val="single"/>
        </w:rPr>
        <w:t>Monographien:</w:t>
      </w:r>
      <w:r>
        <w:br/>
      </w:r>
    </w:p>
    <w:p w:rsidR="00C3141E" w:rsidRDefault="00C3141E">
      <w:r>
        <w:t>- Die Nekyia in den Punica des Silius Italicus. Bern/Frankfurt am Main 1982 (Studien zur Klassischen Philologie 5. Zugl. Diss. Heidelberg 1982)</w:t>
      </w:r>
    </w:p>
    <w:p w:rsidR="00C3141E" w:rsidRDefault="00C3141E"/>
    <w:p w:rsidR="00C3141E" w:rsidRDefault="00C3141E">
      <w:r>
        <w:t>- Zur Gleichnistechnik des Apollonios von Rhodos. Frankfurt am Main 1996 (Studien zur Klassischen Philologie 99)</w:t>
      </w:r>
      <w:r>
        <w:br/>
      </w:r>
      <w:r>
        <w:br/>
        <w:t xml:space="preserve">- Die Literatur </w:t>
      </w:r>
      <w:r w:rsidR="00833F2E">
        <w:t xml:space="preserve">im Zeitalter Neros. Darmstadt </w:t>
      </w:r>
      <w:r w:rsidR="00A743FD">
        <w:t xml:space="preserve">2006 </w:t>
      </w:r>
      <w:r w:rsidR="00833F2E">
        <w:t>(</w:t>
      </w:r>
      <w:r w:rsidR="001456C1">
        <w:t xml:space="preserve">Reihe: </w:t>
      </w:r>
      <w:r w:rsidR="00833F2E">
        <w:t xml:space="preserve">Klassische Philologie kompakt) </w:t>
      </w:r>
      <w:r>
        <w:br/>
      </w:r>
    </w:p>
    <w:p w:rsidR="00C3141E" w:rsidRDefault="00C3141E">
      <w:r>
        <w:br/>
      </w:r>
      <w:r>
        <w:rPr>
          <w:u w:val="single"/>
        </w:rPr>
        <w:t>Herausgeberschaft:</w:t>
      </w:r>
      <w:r>
        <w:t xml:space="preserve"> </w:t>
      </w:r>
      <w:r>
        <w:br/>
      </w:r>
      <w:r>
        <w:br/>
        <w:t>- Vom Text zum Buch. Vorträge eines altertumswissenschaftlichen Kolloquiums</w:t>
      </w:r>
      <w:r w:rsidR="00A365FB">
        <w:t xml:space="preserve">. </w:t>
      </w:r>
      <w:r>
        <w:t xml:space="preserve">St. Katharinen 2000 (Subsidia Classica 3) </w:t>
      </w:r>
      <w:r>
        <w:br/>
      </w:r>
      <w:r>
        <w:br/>
        <w:t xml:space="preserve">- </w:t>
      </w:r>
      <w:r>
        <w:rPr>
          <w:i/>
        </w:rPr>
        <w:t xml:space="preserve">(Gemeinsam mit Marietta Horster) </w:t>
      </w:r>
      <w:r>
        <w:t>Antike Fachschriftsteller: Literarischer Diskurs und sozialer Kontext. Stuttgart 2003 (Palingenesia 80)</w:t>
      </w:r>
      <w:r>
        <w:br/>
      </w:r>
    </w:p>
    <w:p w:rsidR="00C3141E" w:rsidRDefault="00C3141E">
      <w:r>
        <w:t xml:space="preserve">- Wolfhart Unte, Heroen und Epigonen. Gelehrtenbiographien der klassischen Altertumswissenschaft im 19. und 20. Jahrhundert. St. Katharinen 2003 (Itinera Classica 2) </w:t>
      </w:r>
    </w:p>
    <w:p w:rsidR="00DC4B94" w:rsidRDefault="00DC4B94"/>
    <w:p w:rsidR="00DC4B94" w:rsidRPr="009A3670" w:rsidRDefault="00DC4B94">
      <w:pPr>
        <w:rPr>
          <w:lang w:val="en-US"/>
        </w:rPr>
      </w:pPr>
      <w:r>
        <w:t xml:space="preserve">- </w:t>
      </w:r>
      <w:r>
        <w:rPr>
          <w:i/>
        </w:rPr>
        <w:t xml:space="preserve">(Gemeinsam mit Marietta Horster) </w:t>
      </w:r>
      <w:r>
        <w:t xml:space="preserve">Wissensvermittlung in dichterischer Gestalt. </w:t>
      </w:r>
      <w:r w:rsidR="00DE757D" w:rsidRPr="009A3670">
        <w:rPr>
          <w:lang w:val="en-US"/>
        </w:rPr>
        <w:t>Stuttgart 2005 (Palingenesia 85)</w:t>
      </w:r>
    </w:p>
    <w:p w:rsidR="000F471B" w:rsidRDefault="007F39B8">
      <w:r w:rsidRPr="00177CBF">
        <w:rPr>
          <w:lang w:val="it-IT"/>
        </w:rPr>
        <w:br/>
        <w:t xml:space="preserve">- Werner Krenkel. Naturalia non turpia. </w:t>
      </w:r>
      <w:r w:rsidR="008A734F" w:rsidRPr="00177CBF">
        <w:rPr>
          <w:lang w:val="en-GB"/>
        </w:rPr>
        <w:t xml:space="preserve">Sex and Gender in Ancient </w:t>
      </w:r>
      <w:smartTag w:uri="urn:schemas-microsoft-com:office:smarttags" w:element="country-region">
        <w:smartTag w:uri="urn:schemas-microsoft-com:office:smarttags" w:element="place">
          <w:r w:rsidR="008A734F" w:rsidRPr="00177CBF">
            <w:rPr>
              <w:lang w:val="en-GB"/>
            </w:rPr>
            <w:t>Greece</w:t>
          </w:r>
        </w:smartTag>
      </w:smartTag>
      <w:r w:rsidR="008A734F" w:rsidRPr="00177CBF">
        <w:rPr>
          <w:lang w:val="en-GB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8A734F" w:rsidRPr="00177CBF">
            <w:rPr>
              <w:lang w:val="en-GB"/>
            </w:rPr>
            <w:t>Rome</w:t>
          </w:r>
        </w:smartTag>
      </w:smartTag>
      <w:r w:rsidR="008A734F" w:rsidRPr="00177CBF">
        <w:rPr>
          <w:lang w:val="en-GB"/>
        </w:rPr>
        <w:t xml:space="preserve">. </w:t>
      </w:r>
      <w:r>
        <w:t>Schriften zur antiken Kultur- und Sexualwissenschaft. Hrsg. von Ch. Reitz und W. Bernard. Hildesheim 2006</w:t>
      </w:r>
      <w:r w:rsidR="0055520E">
        <w:t xml:space="preserve">, 2. Auflage 2016 </w:t>
      </w:r>
      <w:r>
        <w:t>(Spudasmata</w:t>
      </w:r>
      <w:r w:rsidR="008A734F">
        <w:t xml:space="preserve"> 113</w:t>
      </w:r>
      <w:r>
        <w:t>)</w:t>
      </w:r>
    </w:p>
    <w:p w:rsidR="0055520E" w:rsidRDefault="0055520E"/>
    <w:p w:rsidR="000F471B" w:rsidRPr="000F471B" w:rsidRDefault="000F471B">
      <w:r>
        <w:t xml:space="preserve">- </w:t>
      </w:r>
      <w:r w:rsidRPr="000F471B">
        <w:rPr>
          <w:i/>
        </w:rPr>
        <w:t>(Gemeinsam mit Lorenz Winkler-Horaček)</w:t>
      </w:r>
      <w:r>
        <w:t xml:space="preserve"> Amor und Psyche. Eine Erzählung in zwölf Bildern. Rahden/Westf. 2008</w:t>
      </w:r>
    </w:p>
    <w:p w:rsidR="00591BBB" w:rsidRDefault="00591BBB"/>
    <w:p w:rsidR="00591BBB" w:rsidRPr="00591BBB" w:rsidRDefault="00591BBB">
      <w:r>
        <w:t xml:space="preserve">- </w:t>
      </w:r>
      <w:r w:rsidRPr="00591BBB">
        <w:rPr>
          <w:i/>
        </w:rPr>
        <w:t>(Gemeinsam mit Nicola Hömke)</w:t>
      </w:r>
      <w:r>
        <w:t xml:space="preserve"> Lucan’s Bellum Civile between epic tradition and aesthetic innovation. Berlin/New York 2010 (Beiträge zur Altertumskunde 282)</w:t>
      </w:r>
    </w:p>
    <w:p w:rsidR="0031080C" w:rsidRDefault="0031080C"/>
    <w:p w:rsidR="0031080C" w:rsidRDefault="0031080C">
      <w:r>
        <w:t>-</w:t>
      </w:r>
      <w:r w:rsidRPr="0031080C">
        <w:rPr>
          <w:i/>
        </w:rPr>
        <w:t xml:space="preserve"> (Gemeinsam mit Norbert Kramer) </w:t>
      </w:r>
      <w:r>
        <w:t xml:space="preserve">Tradition und Erneuerung. </w:t>
      </w:r>
      <w:r w:rsidR="000E6E08">
        <w:t>M</w:t>
      </w:r>
      <w:r>
        <w:t>ediale Strategien in der Zeit der Flavier. Hrsg. von Norbert Kramer und Christiane Reitz. Berlin/New York 2010 (=Beiträge zur Altertumskunde 285)</w:t>
      </w:r>
    </w:p>
    <w:p w:rsidR="002F2D1C" w:rsidRPr="00AE3C23" w:rsidRDefault="0031080C" w:rsidP="002F2D1C">
      <w:pPr>
        <w:rPr>
          <w:lang w:val="en-US"/>
        </w:rPr>
      </w:pPr>
      <w:r w:rsidRPr="00A16584">
        <w:rPr>
          <w:lang w:val="en-US"/>
        </w:rPr>
        <w:br/>
      </w:r>
      <w:r w:rsidRPr="009A3670">
        <w:rPr>
          <w:lang w:val="en-US"/>
        </w:rPr>
        <w:t xml:space="preserve">- </w:t>
      </w:r>
      <w:r w:rsidRPr="009A3670">
        <w:rPr>
          <w:i/>
          <w:lang w:val="en-US"/>
        </w:rPr>
        <w:t>(Gemeinsam mit Marietta Horster)</w:t>
      </w:r>
      <w:r w:rsidRPr="009A3670">
        <w:rPr>
          <w:lang w:val="en-US"/>
        </w:rPr>
        <w:t xml:space="preserve"> Condensing texts</w:t>
      </w:r>
      <w:r w:rsidR="000E6E08" w:rsidRPr="009A3670">
        <w:rPr>
          <w:lang w:val="en-US"/>
        </w:rPr>
        <w:t xml:space="preserve"> –</w:t>
      </w:r>
      <w:r w:rsidRPr="009A3670">
        <w:rPr>
          <w:lang w:val="en-US"/>
        </w:rPr>
        <w:t xml:space="preserve"> condensed texts. Ed. by M</w:t>
      </w:r>
      <w:r w:rsidR="0055520E">
        <w:rPr>
          <w:lang w:val="en-US"/>
        </w:rPr>
        <w:t xml:space="preserve">. </w:t>
      </w:r>
      <w:r w:rsidRPr="009A3670">
        <w:rPr>
          <w:lang w:val="en-US"/>
        </w:rPr>
        <w:t>Horster and Ch</w:t>
      </w:r>
      <w:r w:rsidR="0055520E">
        <w:rPr>
          <w:lang w:val="en-US"/>
        </w:rPr>
        <w:t xml:space="preserve">. </w:t>
      </w:r>
      <w:r w:rsidRPr="00AE3C23">
        <w:t xml:space="preserve">Reitz. </w:t>
      </w:r>
      <w:r>
        <w:t>Stuttgart 2010 (=Palingenesia 98)</w:t>
      </w:r>
      <w:r>
        <w:br/>
      </w:r>
      <w:r w:rsidR="00C3141E">
        <w:lastRenderedPageBreak/>
        <w:br/>
      </w:r>
      <w:r w:rsidR="002F2D1C">
        <w:t xml:space="preserve">- </w:t>
      </w:r>
      <w:r w:rsidR="002F2D1C" w:rsidRPr="002F2D1C">
        <w:rPr>
          <w:i/>
        </w:rPr>
        <w:t>(Gemeinsam mit Anke Walter)</w:t>
      </w:r>
      <w:r w:rsidR="002F2D1C">
        <w:t xml:space="preserve"> Von Ursachen sprechen. </w:t>
      </w:r>
      <w:r w:rsidR="002F2D1C" w:rsidRPr="00AE3C23">
        <w:rPr>
          <w:lang w:val="en-US"/>
        </w:rPr>
        <w:t xml:space="preserve">Eine aitiologische Spurensuche. </w:t>
      </w:r>
    </w:p>
    <w:p w:rsidR="002F2D1C" w:rsidRDefault="002F2D1C" w:rsidP="002F2D1C">
      <w:r w:rsidRPr="002F2D1C">
        <w:rPr>
          <w:lang w:val="en-US"/>
        </w:rPr>
        <w:t>Telling origins. On the lookout</w:t>
      </w:r>
      <w:r>
        <w:rPr>
          <w:lang w:val="en-US"/>
        </w:rPr>
        <w:t xml:space="preserve"> </w:t>
      </w:r>
      <w:r w:rsidRPr="002F2D1C">
        <w:rPr>
          <w:lang w:val="en-US"/>
        </w:rPr>
        <w:t>for aetiology</w:t>
      </w:r>
      <w:r>
        <w:rPr>
          <w:lang w:val="en-US"/>
        </w:rPr>
        <w:t xml:space="preserve">. </w:t>
      </w:r>
      <w:r w:rsidRPr="002F2D1C">
        <w:t>Hrsg. von Ch</w:t>
      </w:r>
      <w:r w:rsidR="0055520E">
        <w:t xml:space="preserve">. </w:t>
      </w:r>
      <w:r w:rsidRPr="002F2D1C">
        <w:t xml:space="preserve">Reitz und </w:t>
      </w:r>
      <w:r>
        <w:t>A</w:t>
      </w:r>
      <w:r w:rsidR="0055520E">
        <w:t xml:space="preserve">. </w:t>
      </w:r>
      <w:r>
        <w:t xml:space="preserve">Walter. </w:t>
      </w:r>
      <w:r w:rsidR="00C8729B">
        <w:t xml:space="preserve">Hildesheim </w:t>
      </w:r>
      <w:r w:rsidRPr="002F2D1C">
        <w:t>2014 (=Spudasmata</w:t>
      </w:r>
      <w:r w:rsidR="00C8729B">
        <w:t xml:space="preserve"> 162</w:t>
      </w:r>
      <w:r w:rsidRPr="002F2D1C">
        <w:t xml:space="preserve">) </w:t>
      </w:r>
    </w:p>
    <w:p w:rsidR="00535D85" w:rsidRDefault="00535D85" w:rsidP="002F2D1C"/>
    <w:p w:rsidR="00535D85" w:rsidRDefault="00535D85" w:rsidP="002F2D1C">
      <w:r>
        <w:t xml:space="preserve">- Fabio Stok, </w:t>
      </w:r>
      <w:r w:rsidR="00A16584">
        <w:t>V</w:t>
      </w:r>
      <w:r>
        <w:t xml:space="preserve">om Papyrus zum Internet. </w:t>
      </w:r>
      <w:r w:rsidR="00A16584">
        <w:t xml:space="preserve">Eine Geschichte der Überlieferung und rezeption der antiken Klassiker. </w:t>
      </w:r>
      <w:r>
        <w:t>Übersetzt und bearbeitet von Ch</w:t>
      </w:r>
      <w:r w:rsidR="00A16584">
        <w:t>ristiane</w:t>
      </w:r>
      <w:r>
        <w:t xml:space="preserve"> Reitz, Torben Behm, Markus Kersten, Lars Keßler und Svenja Mues, Rahden/Westf. 2017</w:t>
      </w:r>
      <w:r w:rsidR="00A16584">
        <w:t>; Titel der italienischen Originalausgabe: I Classici dal Papiro al Internet, Roma: Carocci 2012</w:t>
      </w:r>
    </w:p>
    <w:p w:rsidR="00535D85" w:rsidRPr="002F2D1C" w:rsidRDefault="00535D85" w:rsidP="002F2D1C"/>
    <w:p w:rsidR="002F2D1C" w:rsidRPr="002F2D1C" w:rsidRDefault="002F2D1C"/>
    <w:p w:rsidR="00C3141E" w:rsidRDefault="00C3141E">
      <w:r>
        <w:t>Mitherausgeberschaft der Reihe „Subsidia Classica“</w:t>
      </w:r>
    </w:p>
    <w:p w:rsidR="00C3141E" w:rsidRDefault="00C3141E"/>
    <w:p w:rsidR="00C3141E" w:rsidRDefault="00C3141E">
      <w:r>
        <w:t xml:space="preserve">Mitherausgeberschaft der Reihe </w:t>
      </w:r>
      <w:r w:rsidR="00700BAF">
        <w:t>„</w:t>
      </w:r>
      <w:r>
        <w:t>Itinera Classica</w:t>
      </w:r>
      <w:r w:rsidR="00700BAF">
        <w:t>“</w:t>
      </w:r>
      <w:r w:rsidR="00700BAF">
        <w:br/>
      </w:r>
    </w:p>
    <w:p w:rsidR="00C3141E" w:rsidRDefault="001456C1">
      <w:r>
        <w:t xml:space="preserve">Mitherausgeberschaft der Reihe </w:t>
      </w:r>
      <w:r w:rsidR="00615229">
        <w:t>„</w:t>
      </w:r>
      <w:r>
        <w:t>Litora Classica</w:t>
      </w:r>
      <w:r w:rsidR="00615229">
        <w:t>“</w:t>
      </w:r>
    </w:p>
    <w:p w:rsidR="001456C1" w:rsidRDefault="001456C1">
      <w:r>
        <w:t>(alle im Verlag Marie Leidorf, Rahden, Westf.)</w:t>
      </w:r>
    </w:p>
    <w:p w:rsidR="00591BBB" w:rsidRDefault="00591BBB">
      <w:pPr>
        <w:rPr>
          <w:u w:val="single"/>
        </w:rPr>
      </w:pPr>
    </w:p>
    <w:p w:rsidR="002442C1" w:rsidRPr="002442C1" w:rsidRDefault="002442C1">
      <w:r w:rsidRPr="002442C1">
        <w:t xml:space="preserve">Mitglied des Herausgeberteams der Reihe Hypomnemata </w:t>
      </w:r>
    </w:p>
    <w:p w:rsidR="002442C1" w:rsidRPr="002442C1" w:rsidRDefault="002442C1">
      <w:r w:rsidRPr="002442C1">
        <w:t>(Vandenhoe</w:t>
      </w:r>
      <w:r w:rsidR="0055520E">
        <w:t>c</w:t>
      </w:r>
      <w:r w:rsidRPr="002442C1">
        <w:t xml:space="preserve">k und Ruprecht, Göttingen) </w:t>
      </w:r>
    </w:p>
    <w:p w:rsidR="002442C1" w:rsidRDefault="002442C1">
      <w:pPr>
        <w:rPr>
          <w:u w:val="single"/>
        </w:rPr>
      </w:pPr>
    </w:p>
    <w:p w:rsidR="002442C1" w:rsidRDefault="002442C1">
      <w:pPr>
        <w:rPr>
          <w:u w:val="single"/>
        </w:rPr>
      </w:pPr>
    </w:p>
    <w:p w:rsidR="00C3141E" w:rsidRDefault="00C3141E">
      <w:r>
        <w:rPr>
          <w:u w:val="single"/>
        </w:rPr>
        <w:t>Aufsätze:</w:t>
      </w:r>
      <w:r>
        <w:br/>
      </w:r>
      <w:r>
        <w:br/>
        <w:t>- Kallimacheische Züge in Statius' Thebais. Würzburger Jahrbücher 11 (1985), S. 129-134</w:t>
      </w:r>
    </w:p>
    <w:p w:rsidR="00C3141E" w:rsidRDefault="00C3141E"/>
    <w:p w:rsidR="00C3141E" w:rsidRDefault="00C3141E">
      <w:r>
        <w:t>- Stilistische Untersuchungen zum 5. Buch von Boethius' Consolatio Philosophiae. Würzburger Jahrbücher 15, 1990, S. 239-246</w:t>
      </w:r>
    </w:p>
    <w:p w:rsidR="00C3141E" w:rsidRDefault="00C3141E">
      <w:r>
        <w:br/>
        <w:t>- Lukrez in der Forschung der letzten 30 Jahre. Altsprachlicher Unterricht 25 (1992), S. 68-80</w:t>
      </w:r>
      <w:r>
        <w:br/>
      </w:r>
      <w:r>
        <w:br/>
        <w:t>- Quomodo Silius Italicus clararum mulierum enumeratione carmen suum exornaverit. Vox Latina 29 (1993), S. 310-319</w:t>
      </w:r>
      <w:r>
        <w:br/>
      </w:r>
      <w:r>
        <w:br/>
        <w:t>- Formel und Frömmigkeit. Zum Gebet in der griechischen Dichtung. In: An die Gottheit. Bittgedichte aus zwei Jahrtausenden. Vorträge eines interdisziplinären Kolloquiums, hrsg. von Th. Stemmler, Mannheim 1993, S. 11-22</w:t>
      </w:r>
      <w:r>
        <w:br/>
      </w:r>
      <w:r>
        <w:br/>
        <w:t>- Griechen am Hudson River. Washington Irving und die Antike. (MATEO 1996. HTTP://www.uni-mannheim.de/mateo/verlag/reports/reitz)</w:t>
      </w:r>
      <w:r>
        <w:br/>
      </w:r>
      <w:r>
        <w:br/>
        <w:t>- Zur Funktion der Kataloge in Ovids Metamorphosen. In: Ovid. Werk und Wirkung. Festgabe für M. von Albrecht, Frankfurt/N.Y. 199</w:t>
      </w:r>
      <w:r w:rsidR="007B30CF">
        <w:t>9</w:t>
      </w:r>
      <w:r>
        <w:t xml:space="preserve">, </w:t>
      </w:r>
      <w:r w:rsidR="007B30CF">
        <w:t xml:space="preserve">hrsg. von W. Schubert, </w:t>
      </w:r>
      <w:r>
        <w:t>S. 359-372</w:t>
      </w:r>
    </w:p>
    <w:p w:rsidR="00C3141E" w:rsidRDefault="00C3141E"/>
    <w:p w:rsidR="00C3141E" w:rsidRDefault="00C3141E">
      <w:pPr>
        <w:pStyle w:val="Fuzeile"/>
      </w:pPr>
      <w:r>
        <w:t>- Zur allegorischen Ortsbeschreibung in Ovids Metamorphosen, Compar(a)ison 1 (1999), S. 35-48</w:t>
      </w:r>
    </w:p>
    <w:p w:rsidR="00C3141E" w:rsidRDefault="00C3141E">
      <w:pPr>
        <w:pStyle w:val="Fuzeile"/>
      </w:pPr>
    </w:p>
    <w:p w:rsidR="00C3141E" w:rsidRDefault="00C3141E">
      <w:r>
        <w:t>- Randnote, Glosse, Kommentar? Der Vergiltext des François Guyet. In: Wechsel des Mediums. Zur Interdependenz von Form und Inhalt, hrsg. von H.-J. Wendel, W. Bernard und S. Müller, Rostock 2001, S. 17-36</w:t>
      </w:r>
    </w:p>
    <w:p w:rsidR="00C3141E" w:rsidRDefault="00C3141E"/>
    <w:p w:rsidR="00C3141E" w:rsidRDefault="00C3141E">
      <w:pPr>
        <w:rPr>
          <w:lang w:val="en-GB"/>
        </w:rPr>
      </w:pPr>
      <w:r>
        <w:rPr>
          <w:lang w:val="en-GB"/>
        </w:rPr>
        <w:lastRenderedPageBreak/>
        <w:t>- Scipio and Ludwig Uhland, Thetis 8 (2001), S. 181-186</w:t>
      </w:r>
    </w:p>
    <w:p w:rsidR="00C3141E" w:rsidRDefault="00C3141E">
      <w:pPr>
        <w:rPr>
          <w:lang w:val="en-GB"/>
        </w:rPr>
      </w:pPr>
    </w:p>
    <w:p w:rsidR="00C3141E" w:rsidRDefault="00C3141E">
      <w:r>
        <w:rPr>
          <w:lang w:val="it-IT"/>
        </w:rPr>
        <w:t xml:space="preserve">- Quid vult dicere? </w:t>
      </w:r>
      <w:r>
        <w:t>Ein neuer Vergilkommentar des 17. Jahrhunderts, Humanistica Lovaniensia 50</w:t>
      </w:r>
      <w:r w:rsidR="001B696E">
        <w:t xml:space="preserve"> (</w:t>
      </w:r>
      <w:r>
        <w:t>2001</w:t>
      </w:r>
      <w:r w:rsidR="001B696E">
        <w:t>)</w:t>
      </w:r>
      <w:r>
        <w:t>, S. 381-391</w:t>
      </w:r>
    </w:p>
    <w:p w:rsidR="00C3141E" w:rsidRDefault="00C3141E"/>
    <w:p w:rsidR="00C3141E" w:rsidRDefault="00C3141E">
      <w:r>
        <w:t xml:space="preserve">- Klagt Ariadne? Überlegungen zur Rede der Ariadne in Catulls </w:t>
      </w:r>
      <w:r>
        <w:rPr>
          <w:i/>
        </w:rPr>
        <w:t>carmen</w:t>
      </w:r>
      <w:r>
        <w:t xml:space="preserve"> </w:t>
      </w:r>
      <w:r w:rsidRPr="001B696E">
        <w:t>64</w:t>
      </w:r>
      <w:r>
        <w:rPr>
          <w:i/>
        </w:rPr>
        <w:t xml:space="preserve">, </w:t>
      </w:r>
      <w:r>
        <w:t>Gymnasium 109, (2001), S. 91-102</w:t>
      </w:r>
    </w:p>
    <w:p w:rsidR="00DD0722" w:rsidRDefault="00DD0722"/>
    <w:p w:rsidR="00C3141E" w:rsidRDefault="00C3141E">
      <w:r>
        <w:t>- (</w:t>
      </w:r>
      <w:r>
        <w:rPr>
          <w:i/>
        </w:rPr>
        <w:t xml:space="preserve">Gemeinsam mit Wolfgang Schibel) </w:t>
      </w:r>
      <w:r>
        <w:t>Die gelehrte Frau des Quattrocento: Fakten und Fiktionen damals und heute, in: Gender Studies in den Altertumswissenschaften. Möglichkeiten und Grenzen, hrsg. von</w:t>
      </w:r>
      <w:r w:rsidR="001B696E">
        <w:t xml:space="preserve"> B. Feichtinger und G. Wöhrle, </w:t>
      </w:r>
      <w:r>
        <w:t>Trier, 2002</w:t>
      </w:r>
      <w:r w:rsidR="001B696E">
        <w:t xml:space="preserve"> (Iphis 1)</w:t>
      </w:r>
      <w:r>
        <w:t>, S. 109-122.</w:t>
      </w:r>
      <w:r>
        <w:br/>
      </w:r>
    </w:p>
    <w:p w:rsidR="00C3141E" w:rsidRDefault="00C3141E">
      <w:r>
        <w:t>- Durs Grünbeins Übersetzung von Seneca, Thyestes, in: Brücke zwischen den Kulturen. „Übersetzung“ als Mittel und Ausdruck kulturellen Austauschs. In: Rostocker Studien zur Kulturwissenschaft, hrsg. von H. J</w:t>
      </w:r>
      <w:r w:rsidR="003052B9">
        <w:t>.</w:t>
      </w:r>
      <w:r>
        <w:t xml:space="preserve"> Wendel, W. Bernard und Y. Bizeul, Bd. 7, Rostock 2002, S. 201-215</w:t>
      </w:r>
    </w:p>
    <w:p w:rsidR="00C3141E" w:rsidRDefault="00C3141E"/>
    <w:p w:rsidR="00C3141E" w:rsidRDefault="00C3141E">
      <w:r>
        <w:t>- Dichtung und Wissenschaft. In: Antike Fachschriftsteller. Hrsg. von M. Horster und Ch. Reitz, Stuttgart 2003 (Palingenesia 80), S. 61-71</w:t>
      </w:r>
    </w:p>
    <w:p w:rsidR="00C3141E" w:rsidRDefault="00C3141E"/>
    <w:p w:rsidR="00C3141E" w:rsidRDefault="00C3141E">
      <w:r>
        <w:t>- Mündlichkeit und Schriftlichkeit in Platons Theätet</w:t>
      </w:r>
      <w:r w:rsidR="000132D4">
        <w:t xml:space="preserve">, Hermes 131 </w:t>
      </w:r>
      <w:r>
        <w:t>(</w:t>
      </w:r>
      <w:r w:rsidR="000132D4">
        <w:t>2003), S. 397-406</w:t>
      </w:r>
    </w:p>
    <w:p w:rsidR="00C3141E" w:rsidRDefault="00C3141E">
      <w:r w:rsidRPr="00A16584">
        <w:rPr>
          <w:lang w:val="en-US"/>
        </w:rPr>
        <w:br/>
      </w:r>
      <w:r w:rsidRPr="009A3670">
        <w:rPr>
          <w:lang w:val="en-US"/>
        </w:rPr>
        <w:t xml:space="preserve">- Ex tempore oder limae labor. </w:t>
      </w:r>
      <w:r>
        <w:t xml:space="preserve">Äußerungen zum Schaffensprozeß in der römischen Dichtung. In: </w:t>
      </w:r>
      <w:r w:rsidR="000132D4">
        <w:t>Entwerfen und Entwurf. Praxis und Theorie des künstlerischen Schaffensprozesses. Hrsg. von G. Mattenklott und F. Weltzien</w:t>
      </w:r>
      <w:r w:rsidR="001B696E">
        <w:t>,</w:t>
      </w:r>
      <w:r w:rsidR="000132D4">
        <w:t xml:space="preserve"> Berlin 2003, S. 59-74 </w:t>
      </w:r>
    </w:p>
    <w:p w:rsidR="00C3141E" w:rsidRDefault="00C3141E"/>
    <w:p w:rsidR="00C3141E" w:rsidRDefault="00C3141E">
      <w:pPr>
        <w:spacing w:line="300" w:lineRule="exact"/>
      </w:pPr>
      <w:r>
        <w:t xml:space="preserve">- Erat Italia tum plena Graecarum artium ac disciplinarum. Theorie und Praxis der aemulatio Graeca in Rom. In: </w:t>
      </w:r>
      <w:r w:rsidR="00006E1D">
        <w:t>LEU-Heft 66 (Juli 2003), Materialien Gymnasien Latein, hr</w:t>
      </w:r>
      <w:r w:rsidR="001B696E">
        <w:t>s</w:t>
      </w:r>
      <w:r w:rsidR="00006E1D">
        <w:t>g. vom Landesinstitut für Erziehung und Unterricht Stuttgart, "39 Jahre Gaienhofen, 20. Ferienkurs für Lehrerinnen und Lehrer der alten Sprachen (27.8.-1</w:t>
      </w:r>
      <w:r w:rsidR="00DC4B94">
        <w:t>.</w:t>
      </w:r>
      <w:r w:rsidR="00006E1D">
        <w:t>9</w:t>
      </w:r>
      <w:r w:rsidR="00DC4B94">
        <w:t>.</w:t>
      </w:r>
      <w:r w:rsidR="00006E1D">
        <w:t xml:space="preserve">2001) mit dem Dachthema "Graecia capta ferum victorem cepit", S. </w:t>
      </w:r>
      <w:r w:rsidR="00A97E3E">
        <w:t>35-51</w:t>
      </w:r>
    </w:p>
    <w:p w:rsidR="00C3141E" w:rsidRDefault="00C3141E">
      <w:pPr>
        <w:spacing w:line="300" w:lineRule="exact"/>
      </w:pPr>
    </w:p>
    <w:p w:rsidR="00DE757D" w:rsidRDefault="00DE757D">
      <w:pPr>
        <w:spacing w:line="300" w:lineRule="exact"/>
      </w:pPr>
      <w:r>
        <w:t>- Dichtung und Lehre, In: Wissensvermittlung in dichterischer Gestalt. Hrsg. von M. Horster und Ch. Reitz, Stuttgart 2005 (Palingenesia 85), S. 8-14 (gemeinsam mit M. Horster)</w:t>
      </w:r>
    </w:p>
    <w:p w:rsidR="00DE757D" w:rsidRDefault="00DE757D">
      <w:pPr>
        <w:spacing w:line="300" w:lineRule="exact"/>
      </w:pPr>
    </w:p>
    <w:p w:rsidR="00DE757D" w:rsidRDefault="00DE757D">
      <w:pPr>
        <w:spacing w:line="300" w:lineRule="exact"/>
      </w:pPr>
      <w:r>
        <w:t>- Horaz’ Literaturbriefe und die Lehrdichtung. In: Wissensvermittlung in dichterischer Gestalt. Hrsg. von M. Horster und Ch. Reitz, Stuttgart 2005 (Palingenesia 85), S. 211-226</w:t>
      </w:r>
    </w:p>
    <w:p w:rsidR="00D35354" w:rsidRDefault="00D35354" w:rsidP="00D35354">
      <w:pPr>
        <w:spacing w:line="300" w:lineRule="exact"/>
      </w:pPr>
    </w:p>
    <w:p w:rsidR="00D35354" w:rsidRPr="00D35354" w:rsidRDefault="00D35354" w:rsidP="00D35354">
      <w:pPr>
        <w:spacing w:line="300" w:lineRule="exact"/>
        <w:rPr>
          <w:szCs w:val="24"/>
        </w:rPr>
      </w:pPr>
      <w:r w:rsidRPr="00D35354">
        <w:rPr>
          <w:szCs w:val="24"/>
        </w:rPr>
        <w:t>- Verkürzen und Erweitern – Literarische Techniken für eilige Leser? Die “Ilias Latina” als poetische Epitome</w:t>
      </w:r>
      <w:r>
        <w:rPr>
          <w:szCs w:val="24"/>
        </w:rPr>
        <w:t>. Hermes</w:t>
      </w:r>
      <w:r w:rsidR="0029647A">
        <w:rPr>
          <w:szCs w:val="24"/>
        </w:rPr>
        <w:t xml:space="preserve"> 135 (2007</w:t>
      </w:r>
      <w:r>
        <w:rPr>
          <w:szCs w:val="24"/>
        </w:rPr>
        <w:t>)</w:t>
      </w:r>
      <w:r w:rsidR="0029647A">
        <w:rPr>
          <w:szCs w:val="24"/>
        </w:rPr>
        <w:t>, S. 334-351</w:t>
      </w:r>
      <w:r w:rsidRPr="00D35354">
        <w:rPr>
          <w:szCs w:val="24"/>
        </w:rPr>
        <w:t xml:space="preserve"> </w:t>
      </w:r>
    </w:p>
    <w:p w:rsidR="00D35354" w:rsidRPr="00D35354" w:rsidRDefault="00D35354" w:rsidP="00D35354">
      <w:pPr>
        <w:spacing w:line="300" w:lineRule="exact"/>
        <w:rPr>
          <w:szCs w:val="24"/>
        </w:rPr>
      </w:pPr>
    </w:p>
    <w:p w:rsidR="00C6640B" w:rsidRPr="00C6640B" w:rsidRDefault="00C6640B" w:rsidP="00C6640B">
      <w:pPr>
        <w:rPr>
          <w:bCs/>
          <w:szCs w:val="24"/>
        </w:rPr>
      </w:pPr>
      <w:r>
        <w:rPr>
          <w:bCs/>
          <w:szCs w:val="24"/>
        </w:rPr>
        <w:t xml:space="preserve">- </w:t>
      </w:r>
      <w:r w:rsidRPr="00C6640B">
        <w:rPr>
          <w:bCs/>
          <w:szCs w:val="24"/>
        </w:rPr>
        <w:t>Gleichnisse im Neuen Testament und antike Literaturtheorie</w:t>
      </w:r>
      <w:r>
        <w:rPr>
          <w:bCs/>
          <w:szCs w:val="24"/>
        </w:rPr>
        <w:t xml:space="preserve">. </w:t>
      </w:r>
      <w:r w:rsidR="005F1619">
        <w:rPr>
          <w:bCs/>
          <w:szCs w:val="24"/>
        </w:rPr>
        <w:t>in: Quaerite faciem eius semper. Studien zu den gei</w:t>
      </w:r>
      <w:r w:rsidR="008F2863">
        <w:rPr>
          <w:bCs/>
          <w:szCs w:val="24"/>
        </w:rPr>
        <w:t>s</w:t>
      </w:r>
      <w:r w:rsidR="005F1619">
        <w:rPr>
          <w:bCs/>
          <w:szCs w:val="24"/>
        </w:rPr>
        <w:t>tesgeschichtlichen Beziehungen zwischen Antike und Christentum. Hrsg. von A. Jördens, H.A. Gärtner u.a., Hamburg 2008, S. 320-337</w:t>
      </w:r>
      <w:r>
        <w:rPr>
          <w:bCs/>
          <w:szCs w:val="24"/>
        </w:rPr>
        <w:t xml:space="preserve"> </w:t>
      </w:r>
      <w:r w:rsidR="005F1619">
        <w:rPr>
          <w:bCs/>
          <w:szCs w:val="24"/>
        </w:rPr>
        <w:t>(=Festschrift für Albrecht Dihle)</w:t>
      </w:r>
    </w:p>
    <w:p w:rsidR="00BC70F0" w:rsidRDefault="00700BAF" w:rsidP="00BC70F0">
      <w:r>
        <w:br/>
      </w:r>
      <w:r w:rsidR="00BC70F0">
        <w:t>- Liebe auf Tapeten. Bericht zu einem Projekt der Antikenrezeption. Gymnasium 115 (2008), S. 481-483 (Gemeinsam mit Lorenz Winkler-Horaček)</w:t>
      </w:r>
    </w:p>
    <w:p w:rsidR="00DE757D" w:rsidRDefault="00DE757D">
      <w:pPr>
        <w:spacing w:line="300" w:lineRule="exact"/>
      </w:pPr>
    </w:p>
    <w:p w:rsidR="000F471B" w:rsidRDefault="000F471B" w:rsidP="000F471B">
      <w:r>
        <w:lastRenderedPageBreak/>
        <w:t>- Sehen und Erzählen in der Geschichte von Amor und Psyche des Apuleius. In: Amor und Psyche. Eine Erzählung in zwölf Bildern., hrsg. von Lorenz Winkler-Hora</w:t>
      </w:r>
      <w:r w:rsidR="0051682F">
        <w:t>č</w:t>
      </w:r>
      <w:r>
        <w:t xml:space="preserve">ek und Christiane Reitz, Rahden/Westf. 2008, </w:t>
      </w:r>
      <w:r w:rsidR="0051682F">
        <w:t>S</w:t>
      </w:r>
      <w:r>
        <w:t>. 124-</w:t>
      </w:r>
      <w:r w:rsidR="0051682F">
        <w:t>127</w:t>
      </w:r>
    </w:p>
    <w:p w:rsidR="00A2591C" w:rsidRDefault="00A2591C" w:rsidP="000F471B"/>
    <w:p w:rsidR="00A2591C" w:rsidRPr="000F471B" w:rsidRDefault="00591BBB" w:rsidP="000F471B">
      <w:r>
        <w:t xml:space="preserve">- </w:t>
      </w:r>
      <w:r w:rsidR="00A2591C">
        <w:t>Silius als Epitomator? In: Silius Italicus. Akten der Innsbrucker Tagung vom 19. – 21. Juni 2008, hrsg. von Florian Schaffenrath, Frankfurt/M. u.</w:t>
      </w:r>
      <w:r w:rsidR="00615229">
        <w:t xml:space="preserve"> </w:t>
      </w:r>
      <w:r w:rsidR="00A2591C">
        <w:t>a. 2010, S. 99-109 (=Studien zur klassischen Philologie 164)</w:t>
      </w:r>
    </w:p>
    <w:p w:rsidR="000F471B" w:rsidRDefault="000F471B">
      <w:pPr>
        <w:spacing w:line="300" w:lineRule="exact"/>
      </w:pPr>
    </w:p>
    <w:p w:rsidR="00591BBB" w:rsidRDefault="00591BBB">
      <w:pPr>
        <w:spacing w:line="300" w:lineRule="exact"/>
      </w:pPr>
      <w:r w:rsidRPr="009A3670">
        <w:rPr>
          <w:lang w:val="en-US"/>
        </w:rPr>
        <w:t xml:space="preserve">- Vorwort. </w:t>
      </w:r>
      <w:r w:rsidRPr="00591BBB">
        <w:rPr>
          <w:lang w:val="en-GB"/>
        </w:rPr>
        <w:t xml:space="preserve">In: Lucan’s Bellum Civile between epic tradition and aesthetic innovation. </w:t>
      </w:r>
      <w:r w:rsidRPr="009A3670">
        <w:t xml:space="preserve">Berlin/New York 2010, ed. </w:t>
      </w:r>
      <w:r w:rsidRPr="00591BBB">
        <w:t xml:space="preserve">Nicola Hömke and Christiane Reitz </w:t>
      </w:r>
      <w:r>
        <w:t>(Beiträge zur Altertumskunde 282), p. VII-XII</w:t>
      </w:r>
    </w:p>
    <w:p w:rsidR="00931F77" w:rsidRDefault="00931F77">
      <w:pPr>
        <w:spacing w:line="300" w:lineRule="exact"/>
      </w:pPr>
    </w:p>
    <w:p w:rsidR="00931F77" w:rsidRDefault="00931F77" w:rsidP="00931F77">
      <w:r w:rsidRPr="009A3670">
        <w:t xml:space="preserve">- Einleitung. </w:t>
      </w:r>
      <w:r w:rsidRPr="00931F77">
        <w:t xml:space="preserve">In: </w:t>
      </w:r>
      <w:r>
        <w:t xml:space="preserve">Tradition und Erneuerung. </w:t>
      </w:r>
      <w:r w:rsidR="001F617C">
        <w:t>M</w:t>
      </w:r>
      <w:r>
        <w:t>ediale Strategien in der Zeit der Flavier. Hrsg. von Norbert Kramer und Christiane Reitz. Berlin/New York 2010 (=Beiträge zur Altertumskunde 285), S. 1-9</w:t>
      </w:r>
    </w:p>
    <w:p w:rsidR="00591BBB" w:rsidRPr="0031080C" w:rsidRDefault="0031080C">
      <w:pPr>
        <w:spacing w:line="300" w:lineRule="exact"/>
      </w:pPr>
      <w:r w:rsidRPr="00A16584">
        <w:rPr>
          <w:lang w:val="en-US"/>
        </w:rPr>
        <w:br/>
      </w:r>
      <w:r w:rsidRPr="0031080C">
        <w:rPr>
          <w:lang w:val="en-GB"/>
        </w:rPr>
        <w:t>- ‚</w:t>
      </w:r>
      <w:r>
        <w:rPr>
          <w:lang w:val="en-GB"/>
        </w:rPr>
        <w:t>C</w:t>
      </w:r>
      <w:r w:rsidRPr="0031080C">
        <w:rPr>
          <w:lang w:val="en-GB"/>
        </w:rPr>
        <w:t>ondensation</w:t>
      </w:r>
      <w:r>
        <w:rPr>
          <w:lang w:val="en-GB"/>
        </w:rPr>
        <w:t>’</w:t>
      </w:r>
      <w:r w:rsidRPr="0031080C">
        <w:rPr>
          <w:lang w:val="en-GB"/>
        </w:rPr>
        <w:t xml:space="preserve"> of literature and the pragmatics of literary production</w:t>
      </w:r>
      <w:r>
        <w:rPr>
          <w:lang w:val="en-GB"/>
        </w:rPr>
        <w:t xml:space="preserve">. </w:t>
      </w:r>
      <w:r w:rsidRPr="0031080C">
        <w:t>In: Horster/Reitz, Condensing texts</w:t>
      </w:r>
      <w:r>
        <w:t xml:space="preserve"> – </w:t>
      </w:r>
      <w:r w:rsidRPr="0031080C">
        <w:t xml:space="preserve">condensed texts, Stuttgart 2010, S. 3-14 (gemeinsam mit M. </w:t>
      </w:r>
      <w:r>
        <w:t>Horster)</w:t>
      </w:r>
    </w:p>
    <w:p w:rsidR="0031080C" w:rsidRPr="0031080C" w:rsidRDefault="0031080C">
      <w:pPr>
        <w:spacing w:line="300" w:lineRule="exact"/>
      </w:pPr>
    </w:p>
    <w:p w:rsidR="0031080C" w:rsidRDefault="0031080C">
      <w:pPr>
        <w:spacing w:line="300" w:lineRule="exact"/>
      </w:pPr>
      <w:r w:rsidRPr="0031080C">
        <w:t>- Homer kürzen? Verkürzung und P</w:t>
      </w:r>
      <w:r w:rsidR="007B0017">
        <w:t>a</w:t>
      </w:r>
      <w:r w:rsidRPr="0031080C">
        <w:t xml:space="preserve">raphrase homerischer Epik in der antiken Kritik. </w:t>
      </w:r>
      <w:r>
        <w:t xml:space="preserve">in: Horster/Reitz, </w:t>
      </w:r>
      <w:r w:rsidR="00352CDC">
        <w:t>C</w:t>
      </w:r>
      <w:r>
        <w:t>ondensing texts – condensed texts, Stuttgart 2010, S. 289-305</w:t>
      </w:r>
    </w:p>
    <w:p w:rsidR="00650050" w:rsidRDefault="00650050">
      <w:pPr>
        <w:spacing w:line="300" w:lineRule="exact"/>
      </w:pPr>
    </w:p>
    <w:p w:rsidR="00E95489" w:rsidRPr="009A3670" w:rsidRDefault="00E95489">
      <w:pPr>
        <w:spacing w:line="300" w:lineRule="exact"/>
      </w:pPr>
      <w:r w:rsidRPr="00E95489">
        <w:rPr>
          <w:lang w:val="en-US"/>
        </w:rPr>
        <w:t>- Love on a wallpaper: Apuleius in the Boudoir</w:t>
      </w:r>
      <w:r>
        <w:rPr>
          <w:lang w:val="en-US"/>
        </w:rPr>
        <w:t>,</w:t>
      </w:r>
      <w:r w:rsidRPr="00E95489">
        <w:rPr>
          <w:lang w:val="en-US"/>
        </w:rPr>
        <w:t xml:space="preserve"> in: Fictional Traces: Receptions of the Ancient Novel, vol. II, ed. by M. P. Futre Pinheiro and S. Harrison, Groningen 2011 (= Ancient Narrative Suppl. </w:t>
      </w:r>
      <w:r w:rsidRPr="009A3670">
        <w:t>14), S. 95-107 (gemeinsam mit L. Winkler-Horaček)</w:t>
      </w:r>
    </w:p>
    <w:p w:rsidR="00650050" w:rsidRPr="009A3670" w:rsidRDefault="00650050">
      <w:pPr>
        <w:spacing w:line="300" w:lineRule="exact"/>
      </w:pPr>
    </w:p>
    <w:p w:rsidR="008A0A8B" w:rsidRDefault="008A0A8B">
      <w:pPr>
        <w:spacing w:line="300" w:lineRule="exact"/>
      </w:pPr>
      <w:r w:rsidRPr="008A0A8B">
        <w:t>- Vocem fata sequuntur: Entscheidungsfindung und epische Konvention in der flavischen Ep</w:t>
      </w:r>
      <w:r>
        <w:t>ik, in: Götter und menschliche W</w:t>
      </w:r>
      <w:r w:rsidRPr="008A0A8B">
        <w:t xml:space="preserve">illensfreiheit. </w:t>
      </w:r>
      <w:r>
        <w:t>Von Lucan bis Silius Italicus, hrsg. von Th. Baier, München 2012 (=Zetemata 142), S. 29-42</w:t>
      </w:r>
    </w:p>
    <w:p w:rsidR="008A0A8B" w:rsidRPr="008A0A8B" w:rsidRDefault="008A0A8B">
      <w:pPr>
        <w:spacing w:line="300" w:lineRule="exact"/>
      </w:pPr>
    </w:p>
    <w:p w:rsidR="00591BBB" w:rsidRDefault="00615229">
      <w:pPr>
        <w:spacing w:line="300" w:lineRule="exact"/>
        <w:rPr>
          <w:lang w:val="en-GB"/>
        </w:rPr>
      </w:pPr>
      <w:r w:rsidRPr="009A3670">
        <w:rPr>
          <w:caps/>
          <w:lang w:val="en-US"/>
        </w:rPr>
        <w:t xml:space="preserve">- </w:t>
      </w:r>
      <w:r w:rsidRPr="009A3670">
        <w:rPr>
          <w:szCs w:val="24"/>
          <w:lang w:val="en-US"/>
        </w:rPr>
        <w:t xml:space="preserve">Of arms and men: Arming scenes in the Epic tradition and in Vergil’s </w:t>
      </w:r>
      <w:r w:rsidRPr="009A3670">
        <w:rPr>
          <w:iCs/>
          <w:szCs w:val="24"/>
          <w:lang w:val="en-US"/>
        </w:rPr>
        <w:t>Aeneid</w:t>
      </w:r>
      <w:r w:rsidR="008A0A8B" w:rsidRPr="009A3670">
        <w:rPr>
          <w:iCs/>
          <w:szCs w:val="24"/>
          <w:lang w:val="en-US"/>
        </w:rPr>
        <w:t>,</w:t>
      </w:r>
      <w:r w:rsidRPr="009A3670">
        <w:rPr>
          <w:szCs w:val="24"/>
          <w:lang w:val="en-US"/>
        </w:rPr>
        <w:t xml:space="preserve"> in: </w:t>
      </w:r>
      <w:r w:rsidRPr="009A3670">
        <w:rPr>
          <w:lang w:val="en-US"/>
        </w:rPr>
        <w:t>Studies in Latin Li</w:t>
      </w:r>
      <w:r w:rsidRPr="00615229">
        <w:rPr>
          <w:lang w:val="en-GB"/>
        </w:rPr>
        <w:t>terature and Roman History</w:t>
      </w:r>
      <w:r w:rsidR="0017285F">
        <w:rPr>
          <w:lang w:val="en-GB"/>
        </w:rPr>
        <w:t>,</w:t>
      </w:r>
      <w:r w:rsidRPr="00615229">
        <w:rPr>
          <w:lang w:val="en-GB"/>
        </w:rPr>
        <w:t xml:space="preserve"> Collection LATOMUS XVI</w:t>
      </w:r>
      <w:r w:rsidR="008A0A8B">
        <w:rPr>
          <w:lang w:val="en-GB"/>
        </w:rPr>
        <w:t>, ed. C. Deroux, Bruxelles 2</w:t>
      </w:r>
      <w:r w:rsidR="0017285F">
        <w:rPr>
          <w:lang w:val="en-GB"/>
        </w:rPr>
        <w:t>012</w:t>
      </w:r>
      <w:r w:rsidR="008A0A8B">
        <w:rPr>
          <w:lang w:val="en-GB"/>
        </w:rPr>
        <w:t>, S. 5-22</w:t>
      </w:r>
    </w:p>
    <w:p w:rsidR="00A72C9A" w:rsidRDefault="00A72C9A">
      <w:pPr>
        <w:spacing w:line="300" w:lineRule="exact"/>
        <w:rPr>
          <w:lang w:val="en-GB"/>
        </w:rPr>
      </w:pPr>
    </w:p>
    <w:p w:rsidR="008A0A8B" w:rsidRPr="00615229" w:rsidRDefault="00A72C9A">
      <w:pPr>
        <w:spacing w:line="300" w:lineRule="exact"/>
        <w:rPr>
          <w:lang w:val="en-GB"/>
        </w:rPr>
      </w:pPr>
      <w:r w:rsidRPr="00A72C9A">
        <w:rPr>
          <w:lang w:val="en-GB"/>
        </w:rPr>
        <w:t>"Columella</w:t>
      </w:r>
      <w:r>
        <w:rPr>
          <w:lang w:val="en-GB"/>
        </w:rPr>
        <w:t>, De re rustica</w:t>
      </w:r>
      <w:r w:rsidRPr="00A72C9A">
        <w:rPr>
          <w:lang w:val="en-GB"/>
        </w:rPr>
        <w:t xml:space="preserve">", in:, </w:t>
      </w:r>
      <w:r>
        <w:rPr>
          <w:lang w:val="en-GB"/>
        </w:rPr>
        <w:t>A C</w:t>
      </w:r>
      <w:r w:rsidRPr="00A72C9A">
        <w:rPr>
          <w:lang w:val="en-GB"/>
        </w:rPr>
        <w:t xml:space="preserve">ompanion to </w:t>
      </w:r>
      <w:r>
        <w:rPr>
          <w:lang w:val="en-GB"/>
        </w:rPr>
        <w:t xml:space="preserve">the </w:t>
      </w:r>
      <w:r w:rsidRPr="00A72C9A">
        <w:rPr>
          <w:lang w:val="en-GB"/>
        </w:rPr>
        <w:t xml:space="preserve">Neronian </w:t>
      </w:r>
      <w:r>
        <w:rPr>
          <w:lang w:val="en-GB"/>
        </w:rPr>
        <w:t xml:space="preserve">Age, ed. </w:t>
      </w:r>
      <w:r w:rsidRPr="00A72C9A">
        <w:rPr>
          <w:lang w:val="en-GB"/>
        </w:rPr>
        <w:t>E. Buckley, M. Dinter</w:t>
      </w:r>
      <w:r>
        <w:rPr>
          <w:lang w:val="en-GB"/>
        </w:rPr>
        <w:t xml:space="preserve"> (Wiley-Blackwell), Chichester </w:t>
      </w:r>
      <w:r w:rsidRPr="00A72C9A">
        <w:rPr>
          <w:lang w:val="en-GB"/>
        </w:rPr>
        <w:t>2013</w:t>
      </w:r>
      <w:r>
        <w:rPr>
          <w:lang w:val="en-GB"/>
        </w:rPr>
        <w:t>, S. 275-287</w:t>
      </w:r>
    </w:p>
    <w:p w:rsidR="00A72C9A" w:rsidRPr="009A3670" w:rsidRDefault="00A72C9A">
      <w:pPr>
        <w:spacing w:line="300" w:lineRule="exact"/>
        <w:rPr>
          <w:lang w:val="en-US"/>
        </w:rPr>
      </w:pPr>
    </w:p>
    <w:p w:rsidR="008A0A8B" w:rsidRDefault="001C54E3" w:rsidP="008A0A8B">
      <w:pPr>
        <w:rPr>
          <w:lang w:val="en-GB"/>
        </w:rPr>
      </w:pPr>
      <w:r w:rsidRPr="001805F3">
        <w:rPr>
          <w:lang w:val="en-US"/>
        </w:rPr>
        <w:t xml:space="preserve">- </w:t>
      </w:r>
      <w:r w:rsidR="008A0A8B" w:rsidRPr="001805F3">
        <w:rPr>
          <w:lang w:val="en-US"/>
        </w:rPr>
        <w:t xml:space="preserve">Does mass matter? </w:t>
      </w:r>
      <w:r w:rsidR="008A0A8B" w:rsidRPr="008A0A8B">
        <w:rPr>
          <w:lang w:val="en-GB"/>
        </w:rPr>
        <w:t>The epic catalogue of troops as narrative and metapoetic device</w:t>
      </w:r>
      <w:r w:rsidR="008A0A8B">
        <w:rPr>
          <w:lang w:val="en-GB"/>
        </w:rPr>
        <w:t xml:space="preserve">, in: Flavian </w:t>
      </w:r>
      <w:r w:rsidR="001805F3">
        <w:rPr>
          <w:lang w:val="en-GB"/>
        </w:rPr>
        <w:t xml:space="preserve">Epic </w:t>
      </w:r>
      <w:r w:rsidR="008A0A8B">
        <w:rPr>
          <w:lang w:val="en-GB"/>
        </w:rPr>
        <w:t xml:space="preserve">Interactions, ed. G. Manuwald, </w:t>
      </w:r>
      <w:r w:rsidR="001805F3">
        <w:rPr>
          <w:lang w:val="en-GB"/>
        </w:rPr>
        <w:t xml:space="preserve">A. Voigt, </w:t>
      </w:r>
      <w:r w:rsidR="008A0A8B">
        <w:rPr>
          <w:lang w:val="en-GB"/>
        </w:rPr>
        <w:t>Berlin/</w:t>
      </w:r>
      <w:r w:rsidR="000E096E">
        <w:rPr>
          <w:lang w:val="en-GB"/>
        </w:rPr>
        <w:t>Boston</w:t>
      </w:r>
      <w:r w:rsidR="008A0A8B">
        <w:rPr>
          <w:lang w:val="en-GB"/>
        </w:rPr>
        <w:t xml:space="preserve"> 201</w:t>
      </w:r>
      <w:r w:rsidR="00A31C41">
        <w:rPr>
          <w:lang w:val="en-GB"/>
        </w:rPr>
        <w:t>3</w:t>
      </w:r>
      <w:r w:rsidR="008A0A8B">
        <w:rPr>
          <w:lang w:val="en-GB"/>
        </w:rPr>
        <w:t xml:space="preserve"> (=Trends in Classics)</w:t>
      </w:r>
      <w:r w:rsidR="009F25F4">
        <w:rPr>
          <w:lang w:val="en-GB"/>
        </w:rPr>
        <w:t xml:space="preserve">, </w:t>
      </w:r>
      <w:r w:rsidR="006536D8">
        <w:rPr>
          <w:lang w:val="en-GB"/>
        </w:rPr>
        <w:t xml:space="preserve">S. </w:t>
      </w:r>
      <w:r w:rsidR="009F25F4">
        <w:rPr>
          <w:lang w:val="en-GB"/>
        </w:rPr>
        <w:t>229-243</w:t>
      </w:r>
      <w:r w:rsidR="008A0A8B">
        <w:rPr>
          <w:lang w:val="en-GB"/>
        </w:rPr>
        <w:t xml:space="preserve"> </w:t>
      </w:r>
    </w:p>
    <w:p w:rsidR="00D159B8" w:rsidRDefault="00D159B8" w:rsidP="008A0A8B">
      <w:pPr>
        <w:rPr>
          <w:lang w:val="en-GB"/>
        </w:rPr>
      </w:pPr>
    </w:p>
    <w:p w:rsidR="009F25F4" w:rsidRPr="009A3670" w:rsidRDefault="009F25F4" w:rsidP="008A0A8B">
      <w:r>
        <w:rPr>
          <w:lang w:val="en-GB"/>
        </w:rPr>
        <w:t xml:space="preserve">- </w:t>
      </w:r>
      <w:r w:rsidRPr="009F25F4">
        <w:rPr>
          <w:lang w:val="en-GB"/>
        </w:rPr>
        <w:t xml:space="preserve">Describing the Invisible – Ovid’s Rome. </w:t>
      </w:r>
      <w:r w:rsidRPr="009A3670">
        <w:t xml:space="preserve">Hermes 141 (2013), </w:t>
      </w:r>
      <w:r w:rsidR="006536D8" w:rsidRPr="009A3670">
        <w:t xml:space="preserve">S. </w:t>
      </w:r>
      <w:r w:rsidRPr="009A3670">
        <w:t>283-293</w:t>
      </w:r>
    </w:p>
    <w:p w:rsidR="00486D6A" w:rsidRDefault="00486D6A" w:rsidP="00486D6A"/>
    <w:p w:rsidR="00486D6A" w:rsidRPr="009A3670" w:rsidRDefault="00486D6A" w:rsidP="00486D6A">
      <w:pPr>
        <w:rPr>
          <w:lang w:val="en-US"/>
        </w:rPr>
      </w:pPr>
      <w:r>
        <w:t xml:space="preserve">- Ursprünge epischer Helden. Mythologie, Genealogie und Aitiologie im Argiverkatalog von Statius‘ Thebais. in: Von Ursachen sprechen. </w:t>
      </w:r>
      <w:r w:rsidRPr="009A3670">
        <w:rPr>
          <w:lang w:val="en-US"/>
        </w:rPr>
        <w:t xml:space="preserve">Eine aitiologische Spurensuche. </w:t>
      </w:r>
    </w:p>
    <w:p w:rsidR="00486D6A" w:rsidRDefault="00486D6A" w:rsidP="00486D6A">
      <w:r w:rsidRPr="00486D6A">
        <w:rPr>
          <w:lang w:val="en-US"/>
        </w:rPr>
        <w:t xml:space="preserve">Telling origins. On the lookout for aetiology. </w:t>
      </w:r>
      <w:r>
        <w:t xml:space="preserve">Hrsg. von Ch., A. Walter. Hildesheim 2014, S. 59-78. </w:t>
      </w:r>
    </w:p>
    <w:p w:rsidR="00486D6A" w:rsidRDefault="00486D6A" w:rsidP="00486D6A"/>
    <w:p w:rsidR="00486D6A" w:rsidRDefault="00486D6A" w:rsidP="00486D6A">
      <w:r>
        <w:t>- Einleitung</w:t>
      </w:r>
      <w:r w:rsidR="00C8729B">
        <w:t>,</w:t>
      </w:r>
      <w:r>
        <w:t xml:space="preserve"> in: Von Ursachen sprechen. Eine aitiologische Spurensuche. </w:t>
      </w:r>
    </w:p>
    <w:p w:rsidR="00486D6A" w:rsidRDefault="00486D6A" w:rsidP="00486D6A">
      <w:r w:rsidRPr="009A3670">
        <w:rPr>
          <w:lang w:val="en-US"/>
        </w:rPr>
        <w:lastRenderedPageBreak/>
        <w:t xml:space="preserve">Telling origins. On the lookout for aetiology. </w:t>
      </w:r>
      <w:r>
        <w:t>Hrsg. von Christiane Reitz und Anke Walter. Hildesheim 2014</w:t>
      </w:r>
      <w:r w:rsidR="00C8729B">
        <w:t>, 17-22</w:t>
      </w:r>
      <w:r>
        <w:t xml:space="preserve"> (=Spudasmata)</w:t>
      </w:r>
    </w:p>
    <w:p w:rsidR="00D24B02" w:rsidRDefault="00D24B02" w:rsidP="00486D6A"/>
    <w:p w:rsidR="009F25F4" w:rsidRDefault="00486D6A" w:rsidP="00486D6A">
      <w:r>
        <w:t xml:space="preserve">- </w:t>
      </w:r>
      <w:r w:rsidR="00C8729B" w:rsidRPr="00C8729B">
        <w:rPr>
          <w:i/>
        </w:rPr>
        <w:t>(</w:t>
      </w:r>
      <w:r w:rsidR="00C8729B">
        <w:rPr>
          <w:i/>
        </w:rPr>
        <w:t>G</w:t>
      </w:r>
      <w:r w:rsidR="00C8729B" w:rsidRPr="00C8729B">
        <w:rPr>
          <w:i/>
        </w:rPr>
        <w:t>emeinsam mit A. Fuchs)</w:t>
      </w:r>
      <w:r w:rsidR="00C8729B">
        <w:t xml:space="preserve"> </w:t>
      </w:r>
      <w:r>
        <w:t xml:space="preserve">Vertere. Zu Theorie und Praxis des Übersetzens in der Antike, in: Gutes Übersetzen. </w:t>
      </w:r>
      <w:r w:rsidRPr="00486D6A">
        <w:t>Neue Perspektiven für Theorie und Praxis des</w:t>
      </w:r>
      <w:r>
        <w:t xml:space="preserve"> </w:t>
      </w:r>
      <w:r w:rsidRPr="00486D6A">
        <w:t>Literaturübersetzens</w:t>
      </w:r>
      <w:r>
        <w:t>, h</w:t>
      </w:r>
      <w:r w:rsidRPr="00486D6A">
        <w:t>rsg. A</w:t>
      </w:r>
      <w:r>
        <w:t xml:space="preserve">. </w:t>
      </w:r>
      <w:r w:rsidRPr="00486D6A">
        <w:t>Buschmann</w:t>
      </w:r>
      <w:r>
        <w:t>, Berlin/</w:t>
      </w:r>
      <w:r w:rsidR="007C2B26">
        <w:t>Boston</w:t>
      </w:r>
      <w:r>
        <w:t xml:space="preserve"> 2015, S. 35-68 </w:t>
      </w:r>
    </w:p>
    <w:p w:rsidR="00486D6A" w:rsidRDefault="00486D6A" w:rsidP="00486D6A"/>
    <w:p w:rsidR="003A56DA" w:rsidRDefault="00F94A1F" w:rsidP="00486D6A">
      <w:pPr>
        <w:rPr>
          <w:lang w:val="en-US"/>
        </w:rPr>
      </w:pPr>
      <w:r w:rsidRPr="00F94A1F">
        <w:rPr>
          <w:lang w:val="en-US"/>
        </w:rPr>
        <w:t xml:space="preserve">- Burning for Rome. The fortunes of Mucius Scaevola, ClassicoContemporaneo 2 (2016), </w:t>
      </w:r>
      <w:r w:rsidR="007C2B26">
        <w:rPr>
          <w:lang w:val="en-US"/>
        </w:rPr>
        <w:t xml:space="preserve">S. </w:t>
      </w:r>
      <w:r w:rsidRPr="00F94A1F">
        <w:rPr>
          <w:lang w:val="en-US"/>
        </w:rPr>
        <w:t>1-12.</w:t>
      </w:r>
      <w:r w:rsidR="00012BA2">
        <w:rPr>
          <w:lang w:val="en-US"/>
        </w:rPr>
        <w:t xml:space="preserve"> </w:t>
      </w:r>
      <w:r w:rsidR="00012BA2" w:rsidRPr="00012BA2">
        <w:rPr>
          <w:lang w:val="en-US"/>
        </w:rPr>
        <w:t>http://www.classicocontemporaneo.eu/</w:t>
      </w:r>
      <w:r w:rsidR="003A56DA" w:rsidRPr="003A56DA">
        <w:rPr>
          <w:lang w:val="en-US"/>
        </w:rPr>
        <w:t xml:space="preserve"> </w:t>
      </w:r>
    </w:p>
    <w:p w:rsidR="003A56DA" w:rsidRDefault="003A56DA" w:rsidP="00486D6A">
      <w:pPr>
        <w:rPr>
          <w:lang w:val="en-US"/>
        </w:rPr>
      </w:pPr>
    </w:p>
    <w:p w:rsidR="00F94A1F" w:rsidRPr="003A56DA" w:rsidRDefault="003A56DA" w:rsidP="00486D6A">
      <w:r w:rsidRPr="003A56DA">
        <w:t>- Nachruf auf Werner Arno Krenkel (1926-2015)</w:t>
      </w:r>
      <w:r>
        <w:t xml:space="preserve">, Gnomon </w:t>
      </w:r>
      <w:r w:rsidR="00D24B02">
        <w:t>86 (</w:t>
      </w:r>
      <w:r>
        <w:t>2016</w:t>
      </w:r>
      <w:r w:rsidR="00D24B02">
        <w:t>), S. 381-3</w:t>
      </w:r>
      <w:bookmarkStart w:id="0" w:name="_GoBack"/>
      <w:bookmarkEnd w:id="0"/>
    </w:p>
    <w:p w:rsidR="00F94A1F" w:rsidRPr="003A56DA" w:rsidRDefault="00F94A1F" w:rsidP="00486D6A"/>
    <w:p w:rsidR="0069357D" w:rsidRPr="00F064D5" w:rsidRDefault="0017285F" w:rsidP="0069357D">
      <w:pPr>
        <w:rPr>
          <w:lang w:val="en-US"/>
        </w:rPr>
      </w:pPr>
      <w:r w:rsidRPr="004429F8">
        <w:rPr>
          <w:szCs w:val="24"/>
          <w:lang w:val="en-US"/>
        </w:rPr>
        <w:t xml:space="preserve">- </w:t>
      </w:r>
      <w:r w:rsidRPr="004429F8">
        <w:rPr>
          <w:i/>
          <w:lang w:val="en-US"/>
        </w:rPr>
        <w:t>Auctoritas</w:t>
      </w:r>
      <w:r w:rsidRPr="004429F8">
        <w:rPr>
          <w:lang w:val="en-US"/>
        </w:rPr>
        <w:t xml:space="preserve"> in the Garden. </w:t>
      </w:r>
      <w:r w:rsidRPr="00F064D5">
        <w:rPr>
          <w:lang w:val="en-US"/>
        </w:rPr>
        <w:t xml:space="preserve">Columella’s poetic strategy in </w:t>
      </w:r>
      <w:r w:rsidRPr="00F064D5">
        <w:rPr>
          <w:i/>
          <w:lang w:val="en-US"/>
        </w:rPr>
        <w:t>De re rustica</w:t>
      </w:r>
      <w:r w:rsidRPr="00F064D5">
        <w:rPr>
          <w:lang w:val="en-US"/>
        </w:rPr>
        <w:t xml:space="preserve"> bk. 10, in: Ph. van der Eijk</w:t>
      </w:r>
      <w:r w:rsidR="00D82B03" w:rsidRPr="00F064D5">
        <w:rPr>
          <w:lang w:val="en-US"/>
        </w:rPr>
        <w:t>,</w:t>
      </w:r>
      <w:r w:rsidR="00634223" w:rsidRPr="00F064D5">
        <w:rPr>
          <w:lang w:val="en-US"/>
        </w:rPr>
        <w:t xml:space="preserve"> </w:t>
      </w:r>
      <w:r w:rsidR="00D82B03" w:rsidRPr="00F064D5">
        <w:rPr>
          <w:lang w:val="en-US"/>
        </w:rPr>
        <w:t xml:space="preserve">M. Formisano </w:t>
      </w:r>
      <w:r w:rsidR="00634223" w:rsidRPr="00F064D5">
        <w:rPr>
          <w:lang w:val="en-US"/>
        </w:rPr>
        <w:t>(ed.)</w:t>
      </w:r>
      <w:r w:rsidRPr="00F064D5">
        <w:rPr>
          <w:lang w:val="en-US"/>
        </w:rPr>
        <w:t xml:space="preserve">, </w:t>
      </w:r>
      <w:r w:rsidR="00634223" w:rsidRPr="00F064D5">
        <w:rPr>
          <w:lang w:val="en-US"/>
        </w:rPr>
        <w:t xml:space="preserve">Knowledge, text and practice in ancient technical </w:t>
      </w:r>
      <w:r w:rsidR="00616D84" w:rsidRPr="00F064D5">
        <w:rPr>
          <w:lang w:val="en-US"/>
        </w:rPr>
        <w:t>writing</w:t>
      </w:r>
      <w:r w:rsidR="00634223" w:rsidRPr="00F064D5">
        <w:rPr>
          <w:lang w:val="en-US"/>
        </w:rPr>
        <w:t xml:space="preserve">, </w:t>
      </w:r>
      <w:r w:rsidRPr="00F064D5">
        <w:rPr>
          <w:lang w:val="en-US"/>
        </w:rPr>
        <w:t>Cambridge</w:t>
      </w:r>
      <w:r w:rsidR="004429F8" w:rsidRPr="00F064D5">
        <w:rPr>
          <w:lang w:val="en-US"/>
        </w:rPr>
        <w:t xml:space="preserve"> 2017</w:t>
      </w:r>
      <w:r w:rsidR="00AD3F45">
        <w:rPr>
          <w:lang w:val="en-US"/>
        </w:rPr>
        <w:t>, S. 217-230</w:t>
      </w:r>
    </w:p>
    <w:p w:rsidR="0069357D" w:rsidRPr="00F064D5" w:rsidRDefault="0069357D" w:rsidP="0069357D">
      <w:pPr>
        <w:rPr>
          <w:lang w:val="en-US"/>
        </w:rPr>
      </w:pPr>
    </w:p>
    <w:p w:rsidR="0069357D" w:rsidRPr="00AD3F45" w:rsidRDefault="0069357D" w:rsidP="0069357D">
      <w:pPr>
        <w:rPr>
          <w:lang w:val="en-US"/>
        </w:rPr>
      </w:pPr>
      <w:r w:rsidRPr="0069357D">
        <w:t xml:space="preserve">- Das Unendliche beginnen und sein Ende finden – Strukturen des Aufzählens in epischer Dichtung, Christine Schmitz, Angela Jöne, Jan Kortmann (Hgg.): Anfänge und Enden. </w:t>
      </w:r>
      <w:r w:rsidRPr="00AD3F45">
        <w:rPr>
          <w:lang w:val="en-US"/>
        </w:rPr>
        <w:t>Narrative Potentiale des antiken und nachantiken Epos, Heidelberg 2017, S. 105-118</w:t>
      </w:r>
    </w:p>
    <w:p w:rsidR="0017285F" w:rsidRPr="00AD3F45" w:rsidRDefault="0017285F" w:rsidP="003C7CC8">
      <w:pPr>
        <w:rPr>
          <w:lang w:val="en-US"/>
        </w:rPr>
      </w:pPr>
    </w:p>
    <w:p w:rsidR="00006BC3" w:rsidRDefault="00006BC3" w:rsidP="00006BC3">
      <w:pPr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r w:rsidRPr="00006BC3">
        <w:rPr>
          <w:szCs w:val="24"/>
          <w:lang w:val="en-US"/>
        </w:rPr>
        <w:t xml:space="preserve">Is Capaneus an Epicurean? A case study in epic and philosophy, </w:t>
      </w:r>
      <w:r>
        <w:rPr>
          <w:szCs w:val="24"/>
          <w:lang w:val="en-US"/>
        </w:rPr>
        <w:t xml:space="preserve">in: </w:t>
      </w:r>
      <w:r w:rsidRPr="00006BC3">
        <w:rPr>
          <w:szCs w:val="24"/>
          <w:lang w:val="en-US"/>
        </w:rPr>
        <w:t>Federica Bessone, Marco Fucecchi (Eds.), The Literary Genres in the Flavian Age. Canons, Transformations, Reception</w:t>
      </w:r>
      <w:r w:rsidR="008F11D3">
        <w:rPr>
          <w:szCs w:val="24"/>
          <w:lang w:val="en-US"/>
        </w:rPr>
        <w:t xml:space="preserve">. </w:t>
      </w:r>
      <w:r w:rsidRPr="00006BC3">
        <w:rPr>
          <w:szCs w:val="24"/>
          <w:lang w:val="en-US"/>
        </w:rPr>
        <w:t>Berlin/Boston, De Gruyter 2017</w:t>
      </w:r>
      <w:r w:rsidR="008F11D3">
        <w:rPr>
          <w:szCs w:val="24"/>
          <w:lang w:val="en-US"/>
        </w:rPr>
        <w:t xml:space="preserve"> (=</w:t>
      </w:r>
      <w:r w:rsidR="008F11D3" w:rsidRPr="008F11D3">
        <w:rPr>
          <w:szCs w:val="24"/>
          <w:lang w:val="en-US"/>
        </w:rPr>
        <w:t>Trends in Classics Supplementary Volumes 51</w:t>
      </w:r>
      <w:r w:rsidR="008F11D3">
        <w:rPr>
          <w:szCs w:val="24"/>
          <w:lang w:val="en-US"/>
        </w:rPr>
        <w:t>)</w:t>
      </w:r>
      <w:r w:rsidR="008F11D3" w:rsidRPr="008F11D3">
        <w:rPr>
          <w:szCs w:val="24"/>
          <w:lang w:val="en-US"/>
        </w:rPr>
        <w:t>,</w:t>
      </w:r>
      <w:r w:rsidRPr="00006BC3">
        <w:rPr>
          <w:szCs w:val="24"/>
          <w:lang w:val="en-US"/>
        </w:rPr>
        <w:t xml:space="preserve"> </w:t>
      </w:r>
      <w:r w:rsidR="008F11D3">
        <w:rPr>
          <w:szCs w:val="24"/>
          <w:lang w:val="en-US"/>
        </w:rPr>
        <w:t>S</w:t>
      </w:r>
      <w:r w:rsidRPr="00006BC3">
        <w:rPr>
          <w:szCs w:val="24"/>
          <w:lang w:val="en-US"/>
        </w:rPr>
        <w:t>. 317-331</w:t>
      </w:r>
    </w:p>
    <w:p w:rsidR="00006BC3" w:rsidRPr="00006BC3" w:rsidRDefault="00006BC3" w:rsidP="00006BC3">
      <w:pPr>
        <w:rPr>
          <w:szCs w:val="24"/>
          <w:lang w:val="en-US"/>
        </w:rPr>
      </w:pPr>
    </w:p>
    <w:p w:rsidR="00006BC3" w:rsidRPr="00006BC3" w:rsidRDefault="00006BC3" w:rsidP="00006BC3">
      <w:pPr>
        <w:rPr>
          <w:szCs w:val="24"/>
          <w:lang w:val="en-US"/>
        </w:rPr>
      </w:pPr>
      <w:r w:rsidRPr="00006BC3">
        <w:rPr>
          <w:szCs w:val="24"/>
          <w:lang w:val="en-US"/>
        </w:rPr>
        <w:t>IM DRUCK:</w:t>
      </w:r>
    </w:p>
    <w:p w:rsidR="00006BC3" w:rsidRDefault="00006BC3" w:rsidP="001B4FC1">
      <w:pPr>
        <w:spacing w:line="300" w:lineRule="exact"/>
        <w:rPr>
          <w:szCs w:val="24"/>
          <w:lang w:val="en-US"/>
        </w:rPr>
      </w:pPr>
    </w:p>
    <w:p w:rsidR="00AE3C23" w:rsidRPr="0069357D" w:rsidRDefault="00AE3C23" w:rsidP="001B4FC1">
      <w:pPr>
        <w:spacing w:line="300" w:lineRule="exact"/>
        <w:rPr>
          <w:szCs w:val="24"/>
          <w:lang w:val="en-US"/>
        </w:rPr>
      </w:pPr>
      <w:r w:rsidRPr="0069357D">
        <w:rPr>
          <w:szCs w:val="24"/>
          <w:lang w:val="en-US"/>
        </w:rPr>
        <w:t xml:space="preserve">- </w:t>
      </w:r>
      <w:r w:rsidR="00595026" w:rsidRPr="0069357D">
        <w:rPr>
          <w:szCs w:val="24"/>
          <w:lang w:val="en-US"/>
        </w:rPr>
        <w:t>Reliability and Evasiveness in Epic Catalogues, in: Lists and Catalogues</w:t>
      </w:r>
      <w:r w:rsidR="007C2B26" w:rsidRPr="0069357D">
        <w:rPr>
          <w:szCs w:val="24"/>
          <w:lang w:val="en-US"/>
        </w:rPr>
        <w:t>, Akten des Panels auf der Celtic Classics Conference Edinburgh 2014</w:t>
      </w:r>
      <w:r w:rsidR="00595026" w:rsidRPr="0069357D">
        <w:rPr>
          <w:szCs w:val="24"/>
          <w:lang w:val="en-US"/>
        </w:rPr>
        <w:t xml:space="preserve">, </w:t>
      </w:r>
      <w:r w:rsidRPr="0069357D">
        <w:rPr>
          <w:szCs w:val="24"/>
          <w:lang w:val="en-US"/>
        </w:rPr>
        <w:t xml:space="preserve">hrsg. von K. Wesselmann, C. Scheidegger-Lämmle, R. </w:t>
      </w:r>
      <w:r w:rsidR="00595026" w:rsidRPr="0069357D">
        <w:rPr>
          <w:szCs w:val="24"/>
          <w:lang w:val="en-US"/>
        </w:rPr>
        <w:t>Lämmle [Cambridge: UP]</w:t>
      </w:r>
    </w:p>
    <w:p w:rsidR="00C8729B" w:rsidRPr="0069357D" w:rsidRDefault="00C8729B" w:rsidP="003C7CC8">
      <w:pPr>
        <w:spacing w:line="300" w:lineRule="exact"/>
        <w:rPr>
          <w:szCs w:val="24"/>
          <w:lang w:val="en-US"/>
        </w:rPr>
      </w:pPr>
    </w:p>
    <w:p w:rsidR="00D02681" w:rsidRDefault="00D02681" w:rsidP="003C7CC8">
      <w:pPr>
        <w:spacing w:line="300" w:lineRule="exact"/>
        <w:rPr>
          <w:szCs w:val="24"/>
        </w:rPr>
      </w:pPr>
      <w:r>
        <w:rPr>
          <w:szCs w:val="24"/>
        </w:rPr>
        <w:t xml:space="preserve">- </w:t>
      </w:r>
      <w:r w:rsidRPr="00D02681">
        <w:rPr>
          <w:szCs w:val="24"/>
        </w:rPr>
        <w:t>Klassik, Klassizismus und Exemplarität in Silius‘ Punica</w:t>
      </w:r>
      <w:r>
        <w:rPr>
          <w:szCs w:val="24"/>
        </w:rPr>
        <w:t xml:space="preserve">, in: M. Föcking, C. Schindler (Hrsg.), </w:t>
      </w:r>
      <w:r w:rsidR="00F064D5" w:rsidRPr="00F064D5">
        <w:rPr>
          <w:szCs w:val="24"/>
        </w:rPr>
        <w:t>Klassik und Klassizismen in der Literatur zwischen römischer Kaiserzeit und italienischer Renaissance</w:t>
      </w:r>
      <w:r w:rsidR="00F064D5">
        <w:rPr>
          <w:szCs w:val="24"/>
        </w:rPr>
        <w:t xml:space="preserve"> </w:t>
      </w:r>
      <w:r>
        <w:rPr>
          <w:szCs w:val="24"/>
        </w:rPr>
        <w:t>[Stuttgart: Steiner]</w:t>
      </w:r>
    </w:p>
    <w:p w:rsidR="00D02681" w:rsidRPr="007C2B26" w:rsidRDefault="00D02681" w:rsidP="003C7CC8">
      <w:pPr>
        <w:spacing w:line="300" w:lineRule="exact"/>
        <w:rPr>
          <w:szCs w:val="24"/>
        </w:rPr>
      </w:pPr>
    </w:p>
    <w:p w:rsidR="00AE3C23" w:rsidRDefault="00D02681" w:rsidP="003C7CC8">
      <w:pPr>
        <w:spacing w:line="300" w:lineRule="exact"/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r w:rsidRPr="00D02681">
        <w:rPr>
          <w:szCs w:val="24"/>
          <w:lang w:val="en-US"/>
        </w:rPr>
        <w:t xml:space="preserve">Neronian Suicide </w:t>
      </w:r>
      <w:r w:rsidR="004429F8">
        <w:rPr>
          <w:szCs w:val="24"/>
          <w:lang w:val="en-US"/>
        </w:rPr>
        <w:t xml:space="preserve">in </w:t>
      </w:r>
      <w:r>
        <w:rPr>
          <w:szCs w:val="24"/>
          <w:lang w:val="en-US"/>
        </w:rPr>
        <w:t>Flavian Poetry</w:t>
      </w:r>
      <w:r w:rsidR="004429F8">
        <w:rPr>
          <w:szCs w:val="24"/>
          <w:lang w:val="en-US"/>
        </w:rPr>
        <w:t>?</w:t>
      </w:r>
      <w:r>
        <w:rPr>
          <w:szCs w:val="24"/>
          <w:lang w:val="en-US"/>
        </w:rPr>
        <w:t xml:space="preserve">, in: Flavian Responses to Nero’s Rome, ed. by E. </w:t>
      </w:r>
      <w:r w:rsidRPr="00D02681">
        <w:rPr>
          <w:szCs w:val="24"/>
          <w:lang w:val="en-US"/>
        </w:rPr>
        <w:t xml:space="preserve">Meijer and </w:t>
      </w:r>
      <w:r>
        <w:rPr>
          <w:szCs w:val="24"/>
          <w:lang w:val="en-US"/>
        </w:rPr>
        <w:t>M. He</w:t>
      </w:r>
      <w:r w:rsidR="00F064D5">
        <w:rPr>
          <w:szCs w:val="24"/>
          <w:lang w:val="en-US"/>
        </w:rPr>
        <w:t>erink, [Leiden/Boston: Brill, M</w:t>
      </w:r>
      <w:r>
        <w:rPr>
          <w:szCs w:val="24"/>
          <w:lang w:val="en-US"/>
        </w:rPr>
        <w:t>n</w:t>
      </w:r>
      <w:r w:rsidR="00F064D5">
        <w:rPr>
          <w:szCs w:val="24"/>
          <w:lang w:val="en-US"/>
        </w:rPr>
        <w:t>e</w:t>
      </w:r>
      <w:r>
        <w:rPr>
          <w:szCs w:val="24"/>
          <w:lang w:val="en-US"/>
        </w:rPr>
        <w:t xml:space="preserve">mosyne Suppl.] </w:t>
      </w:r>
    </w:p>
    <w:p w:rsidR="00F064D5" w:rsidRDefault="00F064D5" w:rsidP="003C7CC8">
      <w:pPr>
        <w:spacing w:line="300" w:lineRule="exact"/>
        <w:rPr>
          <w:szCs w:val="24"/>
          <w:lang w:val="en-US"/>
        </w:rPr>
      </w:pPr>
    </w:p>
    <w:p w:rsidR="0069357D" w:rsidRDefault="00F064D5" w:rsidP="00F064D5">
      <w:pPr>
        <w:pStyle w:val="Listenabsatz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r w:rsidRPr="00F064D5">
        <w:rPr>
          <w:szCs w:val="24"/>
          <w:lang w:val="en-US"/>
        </w:rPr>
        <w:t>German Altertumswissenschaften, “Professorenhaarspalterei” and organizing the Classics in the 19th-century</w:t>
      </w:r>
      <w:r>
        <w:rPr>
          <w:szCs w:val="24"/>
          <w:lang w:val="en-US"/>
        </w:rPr>
        <w:t>, in: E. Podoksik (ed.), The Humanities in Germany in the 19th cent. [Series ‘</w:t>
      </w:r>
      <w:r w:rsidRPr="00F064D5">
        <w:rPr>
          <w:szCs w:val="24"/>
          <w:lang w:val="en-US"/>
        </w:rPr>
        <w:t>Scientific and Learned Cultures and Their Institutions</w:t>
      </w:r>
      <w:r>
        <w:rPr>
          <w:szCs w:val="24"/>
          <w:lang w:val="en-US"/>
        </w:rPr>
        <w:t>’, Leiden/Boston: Brill</w:t>
      </w:r>
      <w:r w:rsidR="0069357D">
        <w:rPr>
          <w:szCs w:val="24"/>
          <w:lang w:val="en-US"/>
        </w:rPr>
        <w:t>]</w:t>
      </w:r>
    </w:p>
    <w:p w:rsidR="00F064D5" w:rsidRDefault="00F064D5" w:rsidP="00F064D5">
      <w:pPr>
        <w:pStyle w:val="Listenabsatz"/>
        <w:spacing w:line="300" w:lineRule="exact"/>
        <w:ind w:left="0"/>
        <w:rPr>
          <w:szCs w:val="24"/>
          <w:lang w:val="en-US"/>
        </w:rPr>
      </w:pPr>
    </w:p>
    <w:p w:rsidR="0069357D" w:rsidRDefault="00F064D5" w:rsidP="00F064D5">
      <w:pPr>
        <w:pStyle w:val="Listenabsatz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r w:rsidRPr="00F064D5">
        <w:rPr>
          <w:szCs w:val="24"/>
          <w:lang w:val="en-US"/>
        </w:rPr>
        <w:t xml:space="preserve">How to use a wallpaper: Psyché </w:t>
      </w:r>
      <w:r>
        <w:rPr>
          <w:szCs w:val="24"/>
          <w:lang w:val="en-US"/>
        </w:rPr>
        <w:t xml:space="preserve">et Cupidon </w:t>
      </w:r>
      <w:r w:rsidR="002B4738">
        <w:rPr>
          <w:szCs w:val="24"/>
          <w:lang w:val="en-US"/>
        </w:rPr>
        <w:t>–</w:t>
      </w:r>
      <w:r>
        <w:rPr>
          <w:szCs w:val="24"/>
          <w:lang w:val="en-US"/>
        </w:rPr>
        <w:t xml:space="preserve"> notice explicative, in: R. May, S. Harrison (eds.), </w:t>
      </w:r>
      <w:r w:rsidRPr="00F064D5">
        <w:rPr>
          <w:szCs w:val="24"/>
          <w:lang w:val="en-US"/>
        </w:rPr>
        <w:t>The Reception of Apuleius’ Cupid and Psyche from 1600 to Today</w:t>
      </w:r>
      <w:r>
        <w:rPr>
          <w:szCs w:val="24"/>
          <w:lang w:val="en-US"/>
        </w:rPr>
        <w:t xml:space="preserve"> </w:t>
      </w:r>
    </w:p>
    <w:p w:rsidR="00F064D5" w:rsidRPr="00F064D5" w:rsidRDefault="00F064D5" w:rsidP="00F064D5">
      <w:pPr>
        <w:pStyle w:val="Listenabsatz"/>
        <w:spacing w:line="300" w:lineRule="exact"/>
        <w:ind w:left="0"/>
        <w:rPr>
          <w:szCs w:val="24"/>
          <w:lang w:val="en-US"/>
        </w:rPr>
      </w:pPr>
    </w:p>
    <w:p w:rsidR="00C3141E" w:rsidRPr="00006BC3" w:rsidRDefault="00C3141E">
      <w:pPr>
        <w:spacing w:line="300" w:lineRule="exact"/>
        <w:rPr>
          <w:u w:val="words"/>
        </w:rPr>
      </w:pPr>
      <w:r w:rsidRPr="00006BC3">
        <w:rPr>
          <w:u w:val="words"/>
        </w:rPr>
        <w:t>Rezensionen:</w:t>
      </w:r>
    </w:p>
    <w:p w:rsidR="00C3141E" w:rsidRDefault="00C3141E">
      <w:r w:rsidRPr="00006BC3">
        <w:br/>
        <w:t xml:space="preserve">- E. Potz, Kommentar zu Claudian, De raptu Proserpinae Buch I, Graz 1985. Anzeiger für die Altertumswissenschaft </w:t>
      </w:r>
      <w:r>
        <w:t>1989, S. 40-42</w:t>
      </w:r>
    </w:p>
    <w:p w:rsidR="00C3141E" w:rsidRDefault="00C3141E">
      <w:r>
        <w:lastRenderedPageBreak/>
        <w:br/>
        <w:t xml:space="preserve">- S. Grebe, Tradition und Rezeption der Vergilischen Heldenschau, Diss. </w:t>
      </w:r>
      <w:r>
        <w:rPr>
          <w:lang w:val="it-IT"/>
        </w:rPr>
        <w:t>Heidelberg 1989. Anzeiger für die Altertumswissenschaft 45 (1992), S. 200-223</w:t>
      </w:r>
      <w:r>
        <w:rPr>
          <w:lang w:val="it-IT"/>
        </w:rPr>
        <w:br/>
      </w:r>
      <w:r>
        <w:rPr>
          <w:lang w:val="it-IT"/>
        </w:rPr>
        <w:br/>
        <w:t xml:space="preserve">- La componente autobiografica nella poesia greca e latina fra realtà e artificio letterario. Atti del Convegno Pisa 16-17 maggio 1991, a cura di G. Arrighetti e F. Montanari, Pisa 1993 (=Biblioteca di Studi Antichi. </w:t>
      </w:r>
      <w:r>
        <w:t>51), Anzeiger für die Altertumswissenschaft 48 (1995), S. 203-209</w:t>
      </w:r>
      <w:r w:rsidR="004E4455">
        <w:br/>
      </w:r>
      <w:r>
        <w:t>- (1) K. Thiel. Erzählung und Beschreibung in den Argonautika des Apollonios Rhodios: ein Beitrag zur Poetik des hellenistischen Epos. Stuttgart 1993 und</w:t>
      </w:r>
    </w:p>
    <w:p w:rsidR="00C3141E" w:rsidRDefault="00C3141E">
      <w:r>
        <w:t>- (2) ders., Aietes der Krieger - Jason der Sieger: zum Heldenbild im hellenistischen Epos. Stuttgart 1996, beide: Gymnasium 104 (1997), S. 358-361</w:t>
      </w:r>
    </w:p>
    <w:p w:rsidR="00C3141E" w:rsidRDefault="00C3141E"/>
    <w:p w:rsidR="00C3141E" w:rsidRDefault="00C3141E">
      <w:r>
        <w:t>- M. Helzle, Der Stil ist der Mensch. Redner und Reden im römischen Epos, Stuttgart/Leipzig 1996, Scholia 7 (1998) [http://www.und.ac.za/und.classics/schrev/scholrev.html/98.03hel/html]</w:t>
      </w:r>
      <w:r>
        <w:br/>
      </w:r>
    </w:p>
    <w:p w:rsidR="00C3141E" w:rsidRDefault="00C3141E">
      <w:r>
        <w:rPr>
          <w:lang w:val="en-GB"/>
        </w:rPr>
        <w:t xml:space="preserve">- D. T. McGuire, Acts of Silence. Civil War, Tyranny, and Suicide in the Flavian Epics. </w:t>
      </w:r>
      <w:r>
        <w:t>Hildesheim 1997, Klio 82 (2000), S. 532-534</w:t>
      </w:r>
    </w:p>
    <w:p w:rsidR="00C3141E" w:rsidRDefault="00C3141E"/>
    <w:p w:rsidR="00C3141E" w:rsidRDefault="00C3141E">
      <w:r>
        <w:t xml:space="preserve">- D. Lohmann, Kalypso bei Homer und James Joyce. Eine vergleichende Untersuchung des 1. und 5. Buches der Odyssee und der 4. </w:t>
      </w:r>
      <w:r w:rsidRPr="009A3670">
        <w:t xml:space="preserve">Episode (Calypso) im Ulysses von James Joyce. </w:t>
      </w:r>
      <w:r>
        <w:t>Tübingen 1998, Gymnasium 108 (2001), S. 40-42</w:t>
      </w:r>
    </w:p>
    <w:p w:rsidR="00C3141E" w:rsidRDefault="00C3141E"/>
    <w:p w:rsidR="00C3141E" w:rsidRDefault="00C3141E">
      <w:r>
        <w:t>- Rede und Redner. Bewertung und Darstellung in den antiken Kulturen. Kolloquium Frankfurt a.M., 14.-16. Okt. 1998, hrsg. von Ch. Neumeister und W. Raeck, Möhnesee 2000 (= Frankfurter Archäologische Schriften 1), Thetis 8 (2001), S. 345-348</w:t>
      </w:r>
    </w:p>
    <w:p w:rsidR="00E47B7C" w:rsidRDefault="00E47B7C" w:rsidP="00E47B7C">
      <w:pPr>
        <w:rPr>
          <w:lang w:val="it-IT"/>
        </w:rPr>
      </w:pPr>
    </w:p>
    <w:p w:rsidR="00E47B7C" w:rsidRDefault="00E47B7C" w:rsidP="00E47B7C">
      <w:r>
        <w:rPr>
          <w:lang w:val="it-IT"/>
        </w:rPr>
        <w:t xml:space="preserve">- B. Kursawe, docere, delectare, movere. </w:t>
      </w:r>
      <w:r>
        <w:t xml:space="preserve">Die officia oratoris bei Augustinus in Rhetorik und </w:t>
      </w:r>
    </w:p>
    <w:p w:rsidR="00E47B7C" w:rsidRDefault="00E47B7C" w:rsidP="00E47B7C">
      <w:pPr>
        <w:rPr>
          <w:rFonts w:cs="Arial"/>
        </w:rPr>
      </w:pPr>
      <w:r>
        <w:t>Gnadenlehre, Paderborn 2000 (</w:t>
      </w:r>
      <w:hyperlink r:id="rId7" w:history="1">
        <w:r>
          <w:rPr>
            <w:rStyle w:val="Hyperlink"/>
            <w:rFonts w:cs="Arial"/>
            <w:color w:val="auto"/>
          </w:rPr>
          <w:t>www.plekos.uni-muenchen.de/2002/rkursawe.pdf</w:t>
        </w:r>
      </w:hyperlink>
      <w:r>
        <w:rPr>
          <w:rFonts w:cs="Arial"/>
        </w:rPr>
        <w:t>)</w:t>
      </w:r>
    </w:p>
    <w:p w:rsidR="00E47B7C" w:rsidRDefault="00E47B7C" w:rsidP="00E47B7C">
      <w:pPr>
        <w:rPr>
          <w:rFonts w:cs="Arial"/>
          <w:sz w:val="20"/>
        </w:rPr>
      </w:pPr>
    </w:p>
    <w:p w:rsidR="00E47B7C" w:rsidRDefault="00E47B7C" w:rsidP="00E47B7C">
      <w:pPr>
        <w:rPr>
          <w:lang w:val="en-GB"/>
        </w:rPr>
      </w:pPr>
      <w:r>
        <w:rPr>
          <w:lang w:val="en-GB"/>
        </w:rPr>
        <w:t xml:space="preserve">- Apollonios Rhodios, The Argonautika, Translated with an Introd., Comm. and Gloss. by P. Green,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Berkeley</w:t>
          </w:r>
        </w:smartTag>
      </w:smartTag>
      <w:r>
        <w:rPr>
          <w:lang w:val="en-GB"/>
        </w:rPr>
        <w:t xml:space="preserve"> u.a. 1997, Gnomon 74 (2002), S. 490-493</w:t>
      </w:r>
    </w:p>
    <w:p w:rsidR="00177CBF" w:rsidRPr="00591BBB" w:rsidRDefault="00177CBF">
      <w:pPr>
        <w:rPr>
          <w:lang w:val="en-GB"/>
        </w:rPr>
      </w:pPr>
    </w:p>
    <w:p w:rsidR="00DE757D" w:rsidRPr="00DE757D" w:rsidRDefault="00DE757D">
      <w:pPr>
        <w:rPr>
          <w:lang w:val="it-IT"/>
        </w:rPr>
      </w:pPr>
      <w:r w:rsidRPr="009A3670">
        <w:rPr>
          <w:lang w:val="en-US"/>
        </w:rPr>
        <w:t xml:space="preserve">- </w:t>
      </w:r>
      <w:r w:rsidRPr="00DE757D">
        <w:rPr>
          <w:lang w:val="it-IT"/>
        </w:rPr>
        <w:t>S. Celentano (ed.) Ars-Techne: Il manuale tecnico nelle civilt</w:t>
      </w:r>
      <w:r>
        <w:rPr>
          <w:lang w:val="it-IT"/>
        </w:rPr>
        <w:t xml:space="preserve">à greca e romana. Chieti 2003, BMCR 2005.04.27 </w:t>
      </w:r>
      <w:r w:rsidRPr="0006740C">
        <w:rPr>
          <w:i/>
          <w:lang w:val="it-IT"/>
        </w:rPr>
        <w:t>(gemeinsam mit M. Horster)</w:t>
      </w:r>
    </w:p>
    <w:p w:rsidR="00DE757D" w:rsidRPr="00DE757D" w:rsidRDefault="00DE757D">
      <w:pPr>
        <w:rPr>
          <w:lang w:val="it-IT"/>
        </w:rPr>
      </w:pPr>
    </w:p>
    <w:p w:rsidR="00497B16" w:rsidRDefault="00497B16">
      <w:pPr>
        <w:rPr>
          <w:lang w:val="it-IT"/>
        </w:rPr>
      </w:pPr>
      <w:r>
        <w:rPr>
          <w:lang w:val="it-IT"/>
        </w:rPr>
        <w:t xml:space="preserve">- L. Ricottilli, Gesto e parola nell' Eneide, Bologna 2000, Gnomon </w:t>
      </w:r>
      <w:r w:rsidR="00A743FD">
        <w:rPr>
          <w:lang w:val="it-IT"/>
        </w:rPr>
        <w:t xml:space="preserve">78 (2006), S. 408-411 </w:t>
      </w:r>
    </w:p>
    <w:p w:rsidR="00497B16" w:rsidRDefault="00497B16">
      <w:pPr>
        <w:rPr>
          <w:lang w:val="it-IT"/>
        </w:rPr>
      </w:pPr>
    </w:p>
    <w:p w:rsidR="00497B16" w:rsidRDefault="00497B16">
      <w:pPr>
        <w:rPr>
          <w:lang w:val="it-IT"/>
        </w:rPr>
      </w:pPr>
      <w:r>
        <w:rPr>
          <w:lang w:val="it-IT"/>
        </w:rPr>
        <w:t xml:space="preserve">- N. Pice, La similitudine nel poema epico, Bari 2003, Gnomon </w:t>
      </w:r>
      <w:r w:rsidR="00DF02DD">
        <w:rPr>
          <w:lang w:val="it-IT"/>
        </w:rPr>
        <w:t xml:space="preserve">78 </w:t>
      </w:r>
      <w:r w:rsidR="00A743FD">
        <w:rPr>
          <w:lang w:val="it-IT"/>
        </w:rPr>
        <w:t>(</w:t>
      </w:r>
      <w:r w:rsidR="00DF02DD">
        <w:rPr>
          <w:lang w:val="it-IT"/>
        </w:rPr>
        <w:t>2006)</w:t>
      </w:r>
      <w:r w:rsidR="00806DBD">
        <w:rPr>
          <w:lang w:val="it-IT"/>
        </w:rPr>
        <w:t>,</w:t>
      </w:r>
      <w:r w:rsidR="00DF02DD">
        <w:rPr>
          <w:lang w:val="it-IT"/>
        </w:rPr>
        <w:t xml:space="preserve"> S. </w:t>
      </w:r>
      <w:r w:rsidR="000B641F">
        <w:rPr>
          <w:lang w:val="it-IT"/>
        </w:rPr>
        <w:t>275-276</w:t>
      </w:r>
    </w:p>
    <w:p w:rsidR="00C3141E" w:rsidRDefault="00497B16">
      <w:r w:rsidRPr="00A16584">
        <w:br/>
      </w:r>
      <w:r>
        <w:t xml:space="preserve">- </w:t>
      </w:r>
      <w:r w:rsidR="00700BAF">
        <w:t xml:space="preserve">M. Schmale, Bilderreigen und Erzähllabyrinth. Catulls Carmen 64. München/Leipzig 2004 </w:t>
      </w:r>
      <w:r w:rsidR="008176A2">
        <w:t xml:space="preserve">BMCR </w:t>
      </w:r>
      <w:r w:rsidR="00DF02DD">
        <w:t>2006</w:t>
      </w:r>
      <w:r w:rsidR="00651287">
        <w:t>.11.38</w:t>
      </w:r>
    </w:p>
    <w:p w:rsidR="00E62210" w:rsidRDefault="00700BAF">
      <w:r>
        <w:br/>
      </w:r>
      <w:r w:rsidR="00E62210">
        <w:t xml:space="preserve">- Zwei neue Bücher zu antiken Fachtexten (Rez. von Asper, M., Griechische Wissenschaftstexte, Stuttgart 2007, und Fögen, T., Kommunikation und Selbstdarstellung, München 2009), Gymnasium 118 (2011), S. 391-396 </w:t>
      </w:r>
    </w:p>
    <w:p w:rsidR="00E62210" w:rsidRDefault="00E62210"/>
    <w:p w:rsidR="00C3141E" w:rsidRDefault="00894579">
      <w:r w:rsidRPr="00894579">
        <w:rPr>
          <w:szCs w:val="24"/>
        </w:rPr>
        <w:t>-</w:t>
      </w:r>
      <w:r>
        <w:rPr>
          <w:szCs w:val="24"/>
        </w:rPr>
        <w:t xml:space="preserve"> </w:t>
      </w:r>
      <w:r w:rsidRPr="00144823">
        <w:rPr>
          <w:szCs w:val="24"/>
        </w:rPr>
        <w:t>H</w:t>
      </w:r>
      <w:r>
        <w:rPr>
          <w:szCs w:val="24"/>
        </w:rPr>
        <w:t xml:space="preserve">. </w:t>
      </w:r>
      <w:r w:rsidRPr="00144823">
        <w:rPr>
          <w:szCs w:val="24"/>
        </w:rPr>
        <w:t>Leppin, Das Erbe der Antike, München 2010</w:t>
      </w:r>
      <w:r w:rsidR="00E62210">
        <w:t xml:space="preserve">, Latomus </w:t>
      </w:r>
      <w:r w:rsidR="00156ED5">
        <w:t>72 (</w:t>
      </w:r>
      <w:r w:rsidR="00E62210">
        <w:t>201</w:t>
      </w:r>
      <w:r w:rsidR="00DB2E7E">
        <w:t>3</w:t>
      </w:r>
      <w:r w:rsidR="00156ED5">
        <w:t>), S. 603-605</w:t>
      </w:r>
    </w:p>
    <w:p w:rsidR="00E62210" w:rsidRDefault="00E62210"/>
    <w:p w:rsidR="008A0A8B" w:rsidRPr="009A3670" w:rsidRDefault="008A0A8B">
      <w:pPr>
        <w:rPr>
          <w:lang w:val="en-US"/>
        </w:rPr>
      </w:pPr>
      <w:r>
        <w:rPr>
          <w:lang w:val="en-US"/>
        </w:rPr>
        <w:lastRenderedPageBreak/>
        <w:t xml:space="preserve">- </w:t>
      </w:r>
      <w:r w:rsidRPr="008A0A8B">
        <w:rPr>
          <w:lang w:val="en-US"/>
        </w:rPr>
        <w:t>S</w:t>
      </w:r>
      <w:r>
        <w:rPr>
          <w:lang w:val="en-US"/>
        </w:rPr>
        <w:t xml:space="preserve">. </w:t>
      </w:r>
      <w:r w:rsidRPr="008A0A8B">
        <w:rPr>
          <w:lang w:val="en-US"/>
        </w:rPr>
        <w:t xml:space="preserve">Papaioannou, Redesigning Achilles: 'Recycling' the Epic Cycle in the 'Little Iliad': (Ovid, Metamorphoses 12.1-13.622). </w:t>
      </w:r>
      <w:r w:rsidRPr="009A3670">
        <w:rPr>
          <w:lang w:val="en-US"/>
        </w:rPr>
        <w:t xml:space="preserve">Berlin/New York 2007, </w:t>
      </w:r>
      <w:r w:rsidR="00801D0F" w:rsidRPr="009A3670">
        <w:rPr>
          <w:lang w:val="en-US"/>
        </w:rPr>
        <w:t>Gnomon 85 (</w:t>
      </w:r>
      <w:r w:rsidRPr="009A3670">
        <w:rPr>
          <w:lang w:val="en-US"/>
        </w:rPr>
        <w:t>201</w:t>
      </w:r>
      <w:r w:rsidR="00801D0F" w:rsidRPr="009A3670">
        <w:rPr>
          <w:lang w:val="en-US"/>
        </w:rPr>
        <w:t>3) 176-178</w:t>
      </w:r>
    </w:p>
    <w:p w:rsidR="00472431" w:rsidRPr="009A3670" w:rsidRDefault="00472431">
      <w:pPr>
        <w:rPr>
          <w:lang w:val="en-US"/>
        </w:rPr>
      </w:pPr>
    </w:p>
    <w:p w:rsidR="006E46A7" w:rsidRPr="009A3670" w:rsidRDefault="006E46A7" w:rsidP="006E46A7">
      <w:pPr>
        <w:rPr>
          <w:lang w:val="en-US"/>
        </w:rPr>
      </w:pPr>
      <w:r w:rsidRPr="009A3670">
        <w:rPr>
          <w:lang w:val="en-US"/>
        </w:rPr>
        <w:t>-</w:t>
      </w:r>
      <w:r w:rsidR="00654F39" w:rsidRPr="009A3670">
        <w:rPr>
          <w:lang w:val="en-US"/>
        </w:rPr>
        <w:t xml:space="preserve"> </w:t>
      </w:r>
      <w:r w:rsidRPr="009A3670">
        <w:rPr>
          <w:lang w:val="en-US"/>
        </w:rPr>
        <w:t xml:space="preserve">Isabella Wiegand, Neque libere neque vere: die Literatur unter Tiberius und der Diskurs der res publica continua, Tübingen 2013 (Classica Monacensia 45), Bryn Mawr Classical Review 2014.10.47 </w:t>
      </w:r>
    </w:p>
    <w:p w:rsidR="006E46A7" w:rsidRPr="009A3670" w:rsidRDefault="006E46A7" w:rsidP="006E46A7">
      <w:pPr>
        <w:rPr>
          <w:lang w:val="en-US"/>
        </w:rPr>
      </w:pPr>
    </w:p>
    <w:p w:rsidR="00A72C9A" w:rsidRPr="009A3670" w:rsidRDefault="00A72C9A">
      <w:pPr>
        <w:rPr>
          <w:lang w:val="en-US"/>
        </w:rPr>
      </w:pPr>
      <w:r w:rsidRPr="00A72C9A">
        <w:rPr>
          <w:lang w:val="en-US"/>
        </w:rPr>
        <w:t>- S</w:t>
      </w:r>
      <w:r>
        <w:rPr>
          <w:lang w:val="en-US"/>
        </w:rPr>
        <w:t xml:space="preserve">. </w:t>
      </w:r>
      <w:r w:rsidRPr="00A72C9A">
        <w:rPr>
          <w:lang w:val="en-US"/>
        </w:rPr>
        <w:t>McGill, Plagiarism in Latin Literature, Cambridge UP 2012</w:t>
      </w:r>
      <w:r>
        <w:rPr>
          <w:lang w:val="en-US"/>
        </w:rPr>
        <w:t>; I. Peir</w:t>
      </w:r>
      <w:r w:rsidRPr="00A72C9A">
        <w:rPr>
          <w:lang w:val="en-US"/>
        </w:rPr>
        <w:t xml:space="preserve">ano, The Rhetoric of the Roman Fate. Latin Pseudepigrapha in Context, Cambridge UP 2012, </w:t>
      </w:r>
      <w:r w:rsidRPr="009A3670">
        <w:rPr>
          <w:lang w:val="en-US"/>
        </w:rPr>
        <w:t xml:space="preserve">Latomus </w:t>
      </w:r>
      <w:r w:rsidR="00762980">
        <w:rPr>
          <w:lang w:val="en-US"/>
        </w:rPr>
        <w:t xml:space="preserve">74 </w:t>
      </w:r>
      <w:r w:rsidR="00654F39" w:rsidRPr="009A3670">
        <w:rPr>
          <w:lang w:val="en-US"/>
        </w:rPr>
        <w:t>(2015), S. 539-545</w:t>
      </w:r>
    </w:p>
    <w:p w:rsidR="00A72C9A" w:rsidRPr="009A3670" w:rsidRDefault="00A72C9A">
      <w:pPr>
        <w:rPr>
          <w:lang w:val="en-US"/>
        </w:rPr>
      </w:pPr>
    </w:p>
    <w:p w:rsidR="009868A1" w:rsidRPr="009A3670" w:rsidRDefault="0041751C">
      <w:r>
        <w:rPr>
          <w:lang w:val="en-US"/>
        </w:rPr>
        <w:t xml:space="preserve">- </w:t>
      </w:r>
      <w:r w:rsidR="009868A1" w:rsidRPr="009868A1">
        <w:rPr>
          <w:lang w:val="en-US"/>
        </w:rPr>
        <w:t>H. Lovatt/C. Vout (eds.)</w:t>
      </w:r>
      <w:r w:rsidR="009868A1">
        <w:rPr>
          <w:lang w:val="en-US"/>
        </w:rPr>
        <w:t xml:space="preserve">, Epic Visions. Visuality in Greek and Latin Epic and its Reception. </w:t>
      </w:r>
      <w:r w:rsidR="009868A1" w:rsidRPr="009A3670">
        <w:t>Cambridge 2013, Mnemosyne</w:t>
      </w:r>
      <w:r w:rsidR="00654F39" w:rsidRPr="009A3670">
        <w:t xml:space="preserve"> 68 (2015), 704-709</w:t>
      </w:r>
    </w:p>
    <w:p w:rsidR="009868A1" w:rsidRDefault="009868A1"/>
    <w:p w:rsidR="0001474C" w:rsidRDefault="0001474C" w:rsidP="0001474C">
      <w:r>
        <w:t xml:space="preserve">- N. Kimmerle, </w:t>
      </w:r>
      <w:r w:rsidRPr="0001474C">
        <w:t>Lucan und der Prinzipat. Inkonsistenz und unzuverlässiges Erzählen im Bellum Civile, Berlin u.a.</w:t>
      </w:r>
      <w:r w:rsidR="0055520E">
        <w:t xml:space="preserve"> De Gruyter</w:t>
      </w:r>
      <w:r w:rsidRPr="0001474C">
        <w:t xml:space="preserve"> 2015</w:t>
      </w:r>
      <w:r>
        <w:t xml:space="preserve">, </w:t>
      </w:r>
      <w:hyperlink r:id="rId8" w:history="1">
        <w:r w:rsidRPr="002A54B1">
          <w:rPr>
            <w:rStyle w:val="Hyperlink"/>
          </w:rPr>
          <w:t>http://www.sehepunkte.de/2016/05/26994.html</w:t>
        </w:r>
      </w:hyperlink>
      <w:r>
        <w:t xml:space="preserve"> (</w:t>
      </w:r>
      <w:r w:rsidRPr="007C2B26">
        <w:rPr>
          <w:i/>
        </w:rPr>
        <w:t>gemeinsam mit Markus Kersten</w:t>
      </w:r>
      <w:r>
        <w:t>)</w:t>
      </w:r>
    </w:p>
    <w:p w:rsidR="002661AF" w:rsidRDefault="002661AF" w:rsidP="0001474C"/>
    <w:p w:rsidR="0055520E" w:rsidRPr="0069357D" w:rsidRDefault="0055520E" w:rsidP="0055520E">
      <w:r w:rsidRPr="0055520E">
        <w:t xml:space="preserve">- Tradition et innovation dans l’épopée latine, de l’Antiquité au Moyen Âge, ed. </w:t>
      </w:r>
      <w:r w:rsidRPr="0069357D">
        <w:t>Aline Estèves and Jean Meyers, Scripta Receptoria 1, Bordeaux: Ausonius Éditions 2014, Latomus</w:t>
      </w:r>
      <w:r w:rsidR="00644CFC" w:rsidRPr="0069357D">
        <w:t xml:space="preserve"> 76 (2017), 230-238</w:t>
      </w:r>
      <w:r w:rsidRPr="0069357D">
        <w:t xml:space="preserve"> (</w:t>
      </w:r>
      <w:r w:rsidRPr="0069357D">
        <w:rPr>
          <w:i/>
        </w:rPr>
        <w:t>gemeinsam mit Simone Finkmann</w:t>
      </w:r>
      <w:r w:rsidRPr="0069357D">
        <w:t>)</w:t>
      </w:r>
    </w:p>
    <w:p w:rsidR="002661AF" w:rsidRPr="0069357D" w:rsidRDefault="002661AF" w:rsidP="0001474C"/>
    <w:p w:rsidR="00B23DE5" w:rsidRDefault="00595026">
      <w:r>
        <w:t>- Nero. Kaiser, Künstler und Tyrann. B</w:t>
      </w:r>
      <w:r w:rsidR="007C2B26">
        <w:t>e</w:t>
      </w:r>
      <w:r>
        <w:t xml:space="preserve">gleitband zur Ausstellung, </w:t>
      </w:r>
      <w:r w:rsidR="007C2B26">
        <w:t>T</w:t>
      </w:r>
      <w:r w:rsidR="00B23DE5">
        <w:t>rier 2016</w:t>
      </w:r>
      <w:r w:rsidR="007C2B26">
        <w:t xml:space="preserve"> (Schriftenreihe des Rheinischen Landesmuseums Trier 40)</w:t>
      </w:r>
      <w:r w:rsidR="00B23DE5">
        <w:t>, Histori</w:t>
      </w:r>
      <w:r w:rsidR="00644CFC">
        <w:t xml:space="preserve">sche Zeitschrift </w:t>
      </w:r>
      <w:r w:rsidR="007C2B26">
        <w:t>[</w:t>
      </w:r>
      <w:r w:rsidR="00B23DE5">
        <w:t>im Druck</w:t>
      </w:r>
      <w:r w:rsidR="007C2B26">
        <w:t>]</w:t>
      </w:r>
    </w:p>
    <w:p w:rsidR="0001474C" w:rsidRPr="0055520E" w:rsidRDefault="00595026">
      <w:r>
        <w:t xml:space="preserve"> </w:t>
      </w:r>
    </w:p>
    <w:p w:rsidR="00C3141E" w:rsidRDefault="00C3141E">
      <w:pPr>
        <w:rPr>
          <w:u w:val="single"/>
        </w:rPr>
      </w:pPr>
      <w:r>
        <w:rPr>
          <w:u w:val="single"/>
        </w:rPr>
        <w:t>Übersetzungen aus dem Lateinischen</w:t>
      </w:r>
      <w:r>
        <w:rPr>
          <w:u w:val="single"/>
        </w:rPr>
        <w:br/>
        <w:t xml:space="preserve">  </w:t>
      </w:r>
    </w:p>
    <w:p w:rsidR="00C3141E" w:rsidRDefault="00C3141E">
      <w:r>
        <w:rPr>
          <w:u w:val="single"/>
        </w:rPr>
        <w:t>in:</w:t>
      </w:r>
      <w:r>
        <w:t xml:space="preserve"> </w:t>
      </w:r>
    </w:p>
    <w:p w:rsidR="00C3141E" w:rsidRDefault="00C3141E"/>
    <w:p w:rsidR="00C3141E" w:rsidRDefault="00C3141E">
      <w:r>
        <w:t>- Polnisches Mittelalter. Frankfurt (Suhrkamp) 1987.</w:t>
      </w:r>
    </w:p>
    <w:p w:rsidR="00C3141E" w:rsidRDefault="00C3141E">
      <w:r>
        <w:br/>
        <w:t>- Polen im Exil. Frankfurt (Suhrkamp) 1988.</w:t>
      </w:r>
    </w:p>
    <w:p w:rsidR="00C3141E" w:rsidRDefault="00C3141E">
      <w:r>
        <w:t>(beide: Polnische Bibliothek. Hrsg. von K. Dedecius)</w:t>
      </w:r>
    </w:p>
    <w:p w:rsidR="00C3141E" w:rsidRDefault="00C3141E">
      <w:r>
        <w:br/>
        <w:t>- Meiner Heimat Gesicht - Ostpreußen im Spiegel der Literatur, hrsg. von W. Lipscher u. K. Brakoniecki, München (Herbig) 1996</w:t>
      </w:r>
      <w:r>
        <w:br/>
      </w:r>
    </w:p>
    <w:p w:rsidR="00C3141E" w:rsidRDefault="00C3141E"/>
    <w:p w:rsidR="00156ED5" w:rsidRDefault="00C3141E" w:rsidP="00156ED5">
      <w:r>
        <w:rPr>
          <w:u w:val="single"/>
        </w:rPr>
        <w:t>Lexikonartikel und Beiträge zu Sammelbänden</w:t>
      </w:r>
      <w:r>
        <w:br/>
      </w:r>
      <w:r>
        <w:br/>
        <w:t xml:space="preserve">- 'Ekphrasis' </w:t>
      </w:r>
      <w:r>
        <w:br/>
        <w:t>in: Der Neue Pauly Bd. 3, Stuttgart/Weimar 1997</w:t>
      </w:r>
      <w:r>
        <w:br/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>- 'Apollonios Rhodios'</w:t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>- 'Lukrez'</w:t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 xml:space="preserve">- 'Pausanias' </w:t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>- 'Silius Italicus'</w:t>
      </w:r>
    </w:p>
    <w:p w:rsidR="00156ED5" w:rsidRDefault="00156ED5" w:rsidP="00156ED5">
      <w:r>
        <w:t>in: Lexikon antiker Autoren, hrsg. von O. Schütze, Stuttgart (Metzler) 1997</w:t>
      </w:r>
    </w:p>
    <w:p w:rsidR="00156ED5" w:rsidRDefault="00156ED5" w:rsidP="00156ED5"/>
    <w:p w:rsidR="00156ED5" w:rsidRDefault="00156ED5" w:rsidP="00156ED5">
      <w:r>
        <w:t>- Hesiod</w:t>
      </w:r>
    </w:p>
    <w:p w:rsidR="00156ED5" w:rsidRDefault="00156ED5" w:rsidP="00156ED5">
      <w:r>
        <w:lastRenderedPageBreak/>
        <w:t>in: Große Gestalten der griechischen Welt, hrsg. von K. Brodersen, München (Beck) 1999, S. 21-30</w:t>
      </w:r>
      <w:r w:rsidR="00700BAF">
        <w:br/>
      </w:r>
    </w:p>
    <w:p w:rsidR="00C3141E" w:rsidRDefault="00C3141E" w:rsidP="00156ED5">
      <w:r>
        <w:t>- 'Katalog'</w:t>
      </w:r>
      <w:r>
        <w:br/>
        <w:t>in: Der Neue Pauly Bd. 6</w:t>
      </w:r>
      <w:r w:rsidR="00DC1FCB">
        <w:t>, Stuttgart 1999</w:t>
      </w:r>
    </w:p>
    <w:p w:rsidR="000132D4" w:rsidRDefault="00700BAF">
      <w:r>
        <w:br/>
      </w:r>
      <w:r w:rsidR="00C3141E">
        <w:t>- 'Bibliothek'</w:t>
      </w:r>
      <w:r w:rsidR="00C3141E">
        <w:br/>
        <w:t>in: Der Neue Pauly (Rezeption und Wissenschaftsgeschichte) Bd. 13</w:t>
      </w:r>
      <w:r w:rsidR="00DC1FCB">
        <w:t>, Stuttgart 1999</w:t>
      </w:r>
    </w:p>
    <w:p w:rsidR="00C3141E" w:rsidRDefault="00700BAF">
      <w:r>
        <w:br/>
      </w:r>
      <w:r w:rsidR="00C3141E">
        <w:t>- 'Silius Italicus'</w:t>
      </w:r>
      <w:r w:rsidR="00C3141E">
        <w:br/>
        <w:t xml:space="preserve">in: Der Neue Pauly Bd. </w:t>
      </w:r>
      <w:r w:rsidR="009A34D6">
        <w:t>11</w:t>
      </w:r>
      <w:r w:rsidR="00DC1FCB">
        <w:t>, Stuttgart 2001</w:t>
      </w:r>
    </w:p>
    <w:p w:rsidR="00C3141E" w:rsidRDefault="00700BAF">
      <w:r>
        <w:br/>
      </w:r>
      <w:r w:rsidR="00352DAF">
        <w:t xml:space="preserve">- Verzeichnis der Handschriften </w:t>
      </w:r>
    </w:p>
    <w:p w:rsidR="00352DAF" w:rsidRDefault="00352DAF">
      <w:r>
        <w:t>in: Der Neue Pauly (Rezeption und Wissenschaftsgeschichte) Bd. 16 (Register, Listen, Tabellen)</w:t>
      </w:r>
      <w:r w:rsidR="00DC1FCB">
        <w:t>, Stuttgart 2003</w:t>
      </w:r>
    </w:p>
    <w:p w:rsidR="00156ED5" w:rsidRDefault="00700BAF">
      <w:r>
        <w:br/>
      </w:r>
      <w:r w:rsidR="00156ED5">
        <w:t xml:space="preserve">- </w:t>
      </w:r>
      <w:r w:rsidR="00D159B8">
        <w:t>Domitian</w:t>
      </w:r>
    </w:p>
    <w:p w:rsidR="00D159B8" w:rsidRDefault="00156ED5">
      <w:r>
        <w:t>in: Der Neue Pauly (Historische Gestalten der Antike), Suppl. 8, Stuttgart 2013, Sp. 373-384</w:t>
      </w:r>
    </w:p>
    <w:p w:rsidR="00156ED5" w:rsidRDefault="00156ED5"/>
    <w:p w:rsidR="00156ED5" w:rsidRDefault="00156ED5">
      <w:r>
        <w:t>- Scaevola</w:t>
      </w:r>
    </w:p>
    <w:p w:rsidR="00D159B8" w:rsidRPr="004B5280" w:rsidRDefault="00156ED5">
      <w:r>
        <w:t xml:space="preserve">in: </w:t>
      </w:r>
      <w:r w:rsidRPr="00156ED5">
        <w:t xml:space="preserve">Der Neue Pauly (Historische Gestalten der Antike), Suppl. </w:t>
      </w:r>
      <w:r w:rsidRPr="004B5280">
        <w:t>8, Stuttgart 2013, Sp. 861-868</w:t>
      </w:r>
    </w:p>
    <w:p w:rsidR="00486D6A" w:rsidRPr="004B5280" w:rsidRDefault="00486D6A"/>
    <w:p w:rsidR="00486D6A" w:rsidRPr="004B5280" w:rsidRDefault="00486D6A">
      <w:r w:rsidRPr="004B5280">
        <w:t>IM DRUCK:</w:t>
      </w:r>
    </w:p>
    <w:p w:rsidR="00486D6A" w:rsidRPr="004B5280" w:rsidRDefault="00486D6A">
      <w:pPr>
        <w:rPr>
          <w:lang w:val="en-US"/>
        </w:rPr>
      </w:pPr>
      <w:r w:rsidRPr="00374C9D">
        <w:br/>
      </w:r>
      <w:r w:rsidR="007C2B26" w:rsidRPr="007C2B26">
        <w:t xml:space="preserve">- Rhetorik im Epos – Rhetorik des Epos ‚Epos‘, in: Handbuch der Rhetorik, hrsg. von M. Erler, Ch. </w:t>
      </w:r>
      <w:r w:rsidR="007C2B26" w:rsidRPr="003A56DA">
        <w:rPr>
          <w:lang w:val="en-US"/>
        </w:rPr>
        <w:t>Tornau, [Berlin/Boston: De Gruyter; Lizenz Darmstadt: WBG]</w:t>
      </w:r>
    </w:p>
    <w:p w:rsidR="00726EDE" w:rsidRPr="004B5280" w:rsidRDefault="00726EDE">
      <w:pPr>
        <w:rPr>
          <w:lang w:val="en-US"/>
        </w:rPr>
      </w:pPr>
    </w:p>
    <w:p w:rsidR="00726EDE" w:rsidRDefault="00726EDE" w:rsidP="00726EDE">
      <w:r w:rsidRPr="00726EDE">
        <w:rPr>
          <w:lang w:val="en-US"/>
        </w:rPr>
        <w:t>- Handbooks, Epitomes, Florilegia: Late antique variations on the short form</w:t>
      </w:r>
      <w:r>
        <w:rPr>
          <w:lang w:val="en-US"/>
        </w:rPr>
        <w:t xml:space="preserve">, </w:t>
      </w:r>
      <w:r w:rsidRPr="00726EDE">
        <w:rPr>
          <w:lang w:val="en-US"/>
        </w:rPr>
        <w:t>in: Blackwell Companion to Late Antique Literature, ed.</w:t>
      </w:r>
      <w:r>
        <w:rPr>
          <w:lang w:val="en-US"/>
        </w:rPr>
        <w:t xml:space="preserve"> </w:t>
      </w:r>
      <w:r w:rsidRPr="00726EDE">
        <w:t xml:space="preserve">Scott McGill and Ed Watts </w:t>
      </w:r>
      <w:r w:rsidRPr="00726EDE">
        <w:rPr>
          <w:i/>
        </w:rPr>
        <w:t>(gemeinsam mit Marietta Horster)</w:t>
      </w:r>
      <w:r>
        <w:t xml:space="preserve"> </w:t>
      </w:r>
      <w:r w:rsidRPr="00726EDE">
        <w:t xml:space="preserve"> </w:t>
      </w:r>
    </w:p>
    <w:p w:rsidR="00726EDE" w:rsidRDefault="00726EDE" w:rsidP="00726EDE"/>
    <w:p w:rsidR="00726EDE" w:rsidRDefault="00F064D5" w:rsidP="00726EDE">
      <w:r>
        <w:t xml:space="preserve">- </w:t>
      </w:r>
    </w:p>
    <w:p w:rsidR="00C3141E" w:rsidRPr="00726EDE" w:rsidRDefault="00C3141E" w:rsidP="00726EDE">
      <w:r w:rsidRPr="00726EDE">
        <w:rPr>
          <w:u w:val="single"/>
        </w:rPr>
        <w:t>Sonstiges</w:t>
      </w:r>
      <w:r w:rsidRPr="00726EDE">
        <w:t xml:space="preserve"> </w:t>
      </w:r>
      <w:r w:rsidRPr="00726EDE">
        <w:br/>
      </w:r>
      <w:r w:rsidRPr="00726EDE">
        <w:br/>
        <w:t>Register des HERMES von 1979 bis 1986</w:t>
      </w:r>
    </w:p>
    <w:p w:rsidR="008176A2" w:rsidRPr="00726EDE" w:rsidRDefault="008176A2"/>
    <w:p w:rsidR="008176A2" w:rsidRDefault="008176A2">
      <w:r w:rsidRPr="00177CBF">
        <w:rPr>
          <w:lang w:val="en-GB"/>
        </w:rPr>
        <w:t xml:space="preserve">Beitrag in: „Children and Careers – Personal Experiences of Twelve Classicists. in: Cloelia. </w:t>
      </w:r>
      <w:r w:rsidRPr="000E096E">
        <w:t>Women’s Classical Caucus Newsl</w:t>
      </w:r>
      <w:r>
        <w:t xml:space="preserve">etter 32,1 (2004), S. 18-19 </w:t>
      </w:r>
    </w:p>
    <w:p w:rsidR="00DF02DD" w:rsidRDefault="00DF02DD"/>
    <w:p w:rsidR="00D159B8" w:rsidRDefault="00D159B8">
      <w:r>
        <w:t>Beitrag in: Professorin und Mutter</w:t>
      </w:r>
      <w:r w:rsidR="009C3D3A">
        <w:t xml:space="preserve"> –</w:t>
      </w:r>
      <w:r w:rsidR="00156ED5">
        <w:t xml:space="preserve"> wie geht das? Hrsg. von B. Piechulla, Heidelberg 2011, S. 239-252</w:t>
      </w:r>
      <w:r>
        <w:t xml:space="preserve"> </w:t>
      </w:r>
    </w:p>
    <w:p w:rsidR="00D159B8" w:rsidRDefault="00D159B8"/>
    <w:p w:rsidR="00DF02DD" w:rsidRDefault="00DF02DD">
      <w:r>
        <w:t>Diverse Beiträge zu</w:t>
      </w:r>
      <w:r w:rsidR="001456C1">
        <w:t xml:space="preserve"> verschiedenen Ausgaben des </w:t>
      </w:r>
      <w:r>
        <w:t>Forschungsmagazin</w:t>
      </w:r>
      <w:r w:rsidR="001456C1">
        <w:t>s</w:t>
      </w:r>
      <w:r>
        <w:t xml:space="preserve"> </w:t>
      </w:r>
      <w:r w:rsidR="00B95BBE">
        <w:t xml:space="preserve">der Universität Rostock </w:t>
      </w:r>
      <w:r>
        <w:t>„Traditio et Innovatio“</w:t>
      </w:r>
      <w:r w:rsidR="00BC70F0">
        <w:t xml:space="preserve"> und zum Jahresheft des Heinrich Schliemann-Instituts</w:t>
      </w:r>
    </w:p>
    <w:sectPr w:rsidR="00DF02D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GOS Miqra">
    <w:charset w:val="02"/>
    <w:family w:val="roman"/>
    <w:pitch w:val="variable"/>
  </w:font>
  <w:font w:name="LOGOS Gramma">
    <w:charset w:val="02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5EED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01CB8"/>
    <w:multiLevelType w:val="hybridMultilevel"/>
    <w:tmpl w:val="0D1E829C"/>
    <w:lvl w:ilvl="0" w:tplc="E5D0E3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4460A"/>
    <w:multiLevelType w:val="singleLevel"/>
    <w:tmpl w:val="6DE0B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C82620"/>
    <w:multiLevelType w:val="hybridMultilevel"/>
    <w:tmpl w:val="28C0CE9A"/>
    <w:lvl w:ilvl="0" w:tplc="C040D7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972"/>
    <w:multiLevelType w:val="singleLevel"/>
    <w:tmpl w:val="1696BB4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C66452"/>
    <w:multiLevelType w:val="singleLevel"/>
    <w:tmpl w:val="C4A8FF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522C89"/>
    <w:multiLevelType w:val="hybridMultilevel"/>
    <w:tmpl w:val="B32643A0"/>
    <w:lvl w:ilvl="0" w:tplc="A8A42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4784"/>
    <w:multiLevelType w:val="hybridMultilevel"/>
    <w:tmpl w:val="1E52A3EE"/>
    <w:lvl w:ilvl="0" w:tplc="59CE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92449"/>
    <w:multiLevelType w:val="hybridMultilevel"/>
    <w:tmpl w:val="5E2059F6"/>
    <w:lvl w:ilvl="0" w:tplc="42CCE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455DA"/>
    <w:multiLevelType w:val="singleLevel"/>
    <w:tmpl w:val="1696BB48"/>
    <w:lvl w:ilvl="0">
      <w:start w:val="1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39010F"/>
    <w:multiLevelType w:val="hybridMultilevel"/>
    <w:tmpl w:val="4FFCC8C0"/>
    <w:lvl w:ilvl="0" w:tplc="6E180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1270"/>
    <w:multiLevelType w:val="hybridMultilevel"/>
    <w:tmpl w:val="DBA277F0"/>
    <w:lvl w:ilvl="0" w:tplc="0BA04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E59F8"/>
    <w:multiLevelType w:val="hybridMultilevel"/>
    <w:tmpl w:val="8ABCBAE6"/>
    <w:lvl w:ilvl="0" w:tplc="A7504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F7F30"/>
    <w:multiLevelType w:val="hybridMultilevel"/>
    <w:tmpl w:val="CDD03EE6"/>
    <w:lvl w:ilvl="0" w:tplc="A07A0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C5066"/>
    <w:multiLevelType w:val="singleLevel"/>
    <w:tmpl w:val="20523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D4"/>
    <w:rsid w:val="00006BC3"/>
    <w:rsid w:val="00006E1D"/>
    <w:rsid w:val="00012BA2"/>
    <w:rsid w:val="000132D4"/>
    <w:rsid w:val="0001474C"/>
    <w:rsid w:val="00032154"/>
    <w:rsid w:val="0006740C"/>
    <w:rsid w:val="000B641F"/>
    <w:rsid w:val="000C44D9"/>
    <w:rsid w:val="000E096E"/>
    <w:rsid w:val="000E4CFB"/>
    <w:rsid w:val="000E6E08"/>
    <w:rsid w:val="000F471B"/>
    <w:rsid w:val="0013043F"/>
    <w:rsid w:val="001456C1"/>
    <w:rsid w:val="00156ED5"/>
    <w:rsid w:val="00164ADA"/>
    <w:rsid w:val="0017285F"/>
    <w:rsid w:val="00177CBF"/>
    <w:rsid w:val="001805F3"/>
    <w:rsid w:val="001A15AF"/>
    <w:rsid w:val="001B4FC1"/>
    <w:rsid w:val="001B696E"/>
    <w:rsid w:val="001C54E3"/>
    <w:rsid w:val="001F617C"/>
    <w:rsid w:val="002221CD"/>
    <w:rsid w:val="002442C1"/>
    <w:rsid w:val="002661AF"/>
    <w:rsid w:val="0029647A"/>
    <w:rsid w:val="002A20F9"/>
    <w:rsid w:val="002A43E1"/>
    <w:rsid w:val="002B4738"/>
    <w:rsid w:val="002B5857"/>
    <w:rsid w:val="002F2D1C"/>
    <w:rsid w:val="003052B9"/>
    <w:rsid w:val="003070EA"/>
    <w:rsid w:val="0031080C"/>
    <w:rsid w:val="00341AE2"/>
    <w:rsid w:val="00352CDC"/>
    <w:rsid w:val="00352DAF"/>
    <w:rsid w:val="0035588C"/>
    <w:rsid w:val="00374C9D"/>
    <w:rsid w:val="003951AB"/>
    <w:rsid w:val="003A56DA"/>
    <w:rsid w:val="003C7CC8"/>
    <w:rsid w:val="003F4936"/>
    <w:rsid w:val="00415643"/>
    <w:rsid w:val="0041751C"/>
    <w:rsid w:val="004429F8"/>
    <w:rsid w:val="00462C45"/>
    <w:rsid w:val="00465B06"/>
    <w:rsid w:val="00472431"/>
    <w:rsid w:val="00486D6A"/>
    <w:rsid w:val="00497B16"/>
    <w:rsid w:val="004B5280"/>
    <w:rsid w:val="004E4455"/>
    <w:rsid w:val="004E5227"/>
    <w:rsid w:val="0051163D"/>
    <w:rsid w:val="0051682F"/>
    <w:rsid w:val="00531364"/>
    <w:rsid w:val="00535D85"/>
    <w:rsid w:val="0055520E"/>
    <w:rsid w:val="00590B02"/>
    <w:rsid w:val="00591BBB"/>
    <w:rsid w:val="00595026"/>
    <w:rsid w:val="005C65DD"/>
    <w:rsid w:val="005F1619"/>
    <w:rsid w:val="00613778"/>
    <w:rsid w:val="00615229"/>
    <w:rsid w:val="00616D84"/>
    <w:rsid w:val="00634223"/>
    <w:rsid w:val="006359AC"/>
    <w:rsid w:val="00644CFC"/>
    <w:rsid w:val="00650050"/>
    <w:rsid w:val="00651287"/>
    <w:rsid w:val="006536D8"/>
    <w:rsid w:val="00654F39"/>
    <w:rsid w:val="006552C1"/>
    <w:rsid w:val="0069357D"/>
    <w:rsid w:val="006A2B6A"/>
    <w:rsid w:val="006C4A67"/>
    <w:rsid w:val="006E46A7"/>
    <w:rsid w:val="00700BAF"/>
    <w:rsid w:val="00713071"/>
    <w:rsid w:val="00726EDE"/>
    <w:rsid w:val="00755D68"/>
    <w:rsid w:val="00762980"/>
    <w:rsid w:val="007B0017"/>
    <w:rsid w:val="007B30CF"/>
    <w:rsid w:val="007C2B26"/>
    <w:rsid w:val="007F39B8"/>
    <w:rsid w:val="00801D0F"/>
    <w:rsid w:val="00806DBD"/>
    <w:rsid w:val="008176A2"/>
    <w:rsid w:val="00833F2E"/>
    <w:rsid w:val="0084074C"/>
    <w:rsid w:val="00894579"/>
    <w:rsid w:val="008A0A8B"/>
    <w:rsid w:val="008A734F"/>
    <w:rsid w:val="008C35CB"/>
    <w:rsid w:val="008F11D3"/>
    <w:rsid w:val="008F2863"/>
    <w:rsid w:val="00931F77"/>
    <w:rsid w:val="009639D5"/>
    <w:rsid w:val="009868A1"/>
    <w:rsid w:val="009A34D6"/>
    <w:rsid w:val="009A3670"/>
    <w:rsid w:val="009B5643"/>
    <w:rsid w:val="009C29A8"/>
    <w:rsid w:val="009C3D3A"/>
    <w:rsid w:val="009E7F78"/>
    <w:rsid w:val="009F25F4"/>
    <w:rsid w:val="009F3405"/>
    <w:rsid w:val="00A16584"/>
    <w:rsid w:val="00A2591C"/>
    <w:rsid w:val="00A31C41"/>
    <w:rsid w:val="00A365FB"/>
    <w:rsid w:val="00A72C9A"/>
    <w:rsid w:val="00A743FD"/>
    <w:rsid w:val="00A921BB"/>
    <w:rsid w:val="00A9246F"/>
    <w:rsid w:val="00A97E3E"/>
    <w:rsid w:val="00AA3C62"/>
    <w:rsid w:val="00AC3051"/>
    <w:rsid w:val="00AD3F45"/>
    <w:rsid w:val="00AD640B"/>
    <w:rsid w:val="00AE3C23"/>
    <w:rsid w:val="00AE7D9E"/>
    <w:rsid w:val="00B077CC"/>
    <w:rsid w:val="00B23DE5"/>
    <w:rsid w:val="00B95BBE"/>
    <w:rsid w:val="00B9751E"/>
    <w:rsid w:val="00BA16DB"/>
    <w:rsid w:val="00BB66A6"/>
    <w:rsid w:val="00BC70F0"/>
    <w:rsid w:val="00BF22BA"/>
    <w:rsid w:val="00C3141E"/>
    <w:rsid w:val="00C6640B"/>
    <w:rsid w:val="00C7009E"/>
    <w:rsid w:val="00C81D73"/>
    <w:rsid w:val="00C8729B"/>
    <w:rsid w:val="00CA152C"/>
    <w:rsid w:val="00D02681"/>
    <w:rsid w:val="00D159B8"/>
    <w:rsid w:val="00D24B02"/>
    <w:rsid w:val="00D35354"/>
    <w:rsid w:val="00D711BD"/>
    <w:rsid w:val="00D82B03"/>
    <w:rsid w:val="00DB2E7E"/>
    <w:rsid w:val="00DC1FCB"/>
    <w:rsid w:val="00DC4B94"/>
    <w:rsid w:val="00DD0722"/>
    <w:rsid w:val="00DE757D"/>
    <w:rsid w:val="00DF02DD"/>
    <w:rsid w:val="00E22B5B"/>
    <w:rsid w:val="00E372E3"/>
    <w:rsid w:val="00E45A2B"/>
    <w:rsid w:val="00E47B7C"/>
    <w:rsid w:val="00E62210"/>
    <w:rsid w:val="00E95489"/>
    <w:rsid w:val="00F064D5"/>
    <w:rsid w:val="00F276EF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hd w:val="solid" w:color="FFFFFF" w:fill="FFFFFF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240" w:after="48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spacing w:before="120" w:after="3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pPr>
      <w:spacing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BibelHebrisch">
    <w:name w:val="Bibel Hebräisch"/>
    <w:basedOn w:val="Standard"/>
    <w:pPr>
      <w:jc w:val="right"/>
    </w:pPr>
    <w:rPr>
      <w:rFonts w:ascii="LOGOS Miqra" w:hAnsi="LOGOS Miqra"/>
      <w:sz w:val="28"/>
    </w:rPr>
  </w:style>
  <w:style w:type="paragraph" w:customStyle="1" w:styleId="BibelGriechisch">
    <w:name w:val="Bibel Griechisch"/>
    <w:basedOn w:val="Standard"/>
    <w:rPr>
      <w:rFonts w:ascii="LOGOS Gramma" w:hAnsi="LOGOS Gramma"/>
    </w:rPr>
  </w:style>
  <w:style w:type="paragraph" w:styleId="Funotentext">
    <w:name w:val="footnote text"/>
    <w:basedOn w:val="Standard"/>
    <w:semiHidden/>
    <w:pPr>
      <w:shd w:val="clear" w:color="auto" w:fill="auto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Endnotentext">
    <w:name w:val="endnote text"/>
    <w:basedOn w:val="Standard"/>
    <w:semiHidden/>
    <w:rsid w:val="00D35354"/>
    <w:pPr>
      <w:shd w:val="clear" w:color="auto" w:fill="auto"/>
    </w:pPr>
    <w:rPr>
      <w:sz w:val="20"/>
    </w:rPr>
  </w:style>
  <w:style w:type="character" w:styleId="Endnotenzeichen">
    <w:name w:val="endnote reference"/>
    <w:semiHidden/>
    <w:rsid w:val="00D353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hd w:val="solid" w:color="FFFFFF" w:fill="FFFFFF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240" w:after="48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spacing w:before="120" w:after="3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pPr>
      <w:spacing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BibelHebrisch">
    <w:name w:val="Bibel Hebräisch"/>
    <w:basedOn w:val="Standard"/>
    <w:pPr>
      <w:jc w:val="right"/>
    </w:pPr>
    <w:rPr>
      <w:rFonts w:ascii="LOGOS Miqra" w:hAnsi="LOGOS Miqra"/>
      <w:sz w:val="28"/>
    </w:rPr>
  </w:style>
  <w:style w:type="paragraph" w:customStyle="1" w:styleId="BibelGriechisch">
    <w:name w:val="Bibel Griechisch"/>
    <w:basedOn w:val="Standard"/>
    <w:rPr>
      <w:rFonts w:ascii="LOGOS Gramma" w:hAnsi="LOGOS Gramma"/>
    </w:rPr>
  </w:style>
  <w:style w:type="paragraph" w:styleId="Funotentext">
    <w:name w:val="footnote text"/>
    <w:basedOn w:val="Standard"/>
    <w:semiHidden/>
    <w:pPr>
      <w:shd w:val="clear" w:color="auto" w:fill="auto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Endnotentext">
    <w:name w:val="endnote text"/>
    <w:basedOn w:val="Standard"/>
    <w:semiHidden/>
    <w:rsid w:val="00D35354"/>
    <w:pPr>
      <w:shd w:val="clear" w:color="auto" w:fill="auto"/>
    </w:pPr>
    <w:rPr>
      <w:sz w:val="20"/>
    </w:rPr>
  </w:style>
  <w:style w:type="character" w:styleId="Endnotenzeichen">
    <w:name w:val="endnote reference"/>
    <w:semiHidden/>
    <w:rsid w:val="00D353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hepunkte.de/2016/05/269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ekos.uni-muenchen.de/2002/rkursaw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AB0E-4608-4151-B17E-E9B5470D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2417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Christiane Reitz</vt:lpstr>
    </vt:vector>
  </TitlesOfParts>
  <Company>Microsoft</Company>
  <LinksUpToDate>false</LinksUpToDate>
  <CharactersWithSpaces>17610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http://www.plekos.uni-muenchen.de/2002/rkursawe.pdf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Christiane Reitz</dc:title>
  <dc:creator>Institut für Altertumswissenschaften</dc:creator>
  <cp:lastModifiedBy>Christiane</cp:lastModifiedBy>
  <cp:revision>8</cp:revision>
  <cp:lastPrinted>2014-10-14T10:44:00Z</cp:lastPrinted>
  <dcterms:created xsi:type="dcterms:W3CDTF">2017-11-13T09:58:00Z</dcterms:created>
  <dcterms:modified xsi:type="dcterms:W3CDTF">2018-01-05T16:03:00Z</dcterms:modified>
</cp:coreProperties>
</file>